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cs="宋体"/>
          <w:b/>
          <w:kern w:val="0"/>
          <w:sz w:val="44"/>
          <w:szCs w:val="44"/>
          <w:highlight w:val="none"/>
        </w:rPr>
      </w:pPr>
      <w:bookmarkStart w:id="0" w:name="_Toc461631222"/>
      <w:bookmarkStart w:id="1" w:name="_Toc246996898"/>
      <w:bookmarkStart w:id="2" w:name="_Toc296602400"/>
      <w:bookmarkStart w:id="3" w:name="_Toc247085669"/>
      <w:bookmarkStart w:id="4" w:name="_Toc324404811"/>
      <w:bookmarkStart w:id="5" w:name="_Toc15058843"/>
      <w:bookmarkStart w:id="6" w:name="_Toc506107265"/>
      <w:bookmarkStart w:id="7" w:name="OLE_LINK1"/>
      <w:bookmarkStart w:id="8" w:name="OLE_LINK2"/>
      <w:bookmarkStart w:id="9" w:name="OLE_LINK3"/>
      <w:bookmarkStart w:id="10" w:name="OLE_LINK5"/>
      <w:bookmarkStart w:id="11" w:name="OLE_LINK4"/>
    </w:p>
    <w:p>
      <w:pPr>
        <w:pStyle w:val="2"/>
        <w:ind w:firstLine="420"/>
        <w:rPr>
          <w:highlight w:val="none"/>
        </w:rPr>
      </w:pPr>
    </w:p>
    <w:p>
      <w:pPr>
        <w:jc w:val="center"/>
        <w:rPr>
          <w:rFonts w:ascii="宋体" w:hAnsi="宋体"/>
          <w:color w:val="auto"/>
          <w:sz w:val="96"/>
          <w:szCs w:val="96"/>
          <w:highlight w:val="none"/>
        </w:rPr>
      </w:pPr>
      <w:r>
        <w:rPr>
          <w:rFonts w:hint="eastAsia" w:hAnsi="宋体" w:cs="宋体"/>
          <w:b/>
          <w:color w:val="auto"/>
          <w:kern w:val="0"/>
          <w:sz w:val="44"/>
          <w:szCs w:val="44"/>
          <w:highlight w:val="none"/>
          <w:lang w:eastAsia="zh-CN"/>
        </w:rPr>
        <w:t>滁宁城际铁路金陵路管线迁改苗木恢复工程</w:t>
      </w:r>
    </w:p>
    <w:p>
      <w:pPr>
        <w:pStyle w:val="2"/>
      </w:pPr>
    </w:p>
    <w:p>
      <w:pPr>
        <w:jc w:val="center"/>
        <w:rPr>
          <w:rFonts w:hint="eastAsia" w:ascii="宋体" w:hAnsi="宋体"/>
          <w:b/>
          <w:bCs/>
          <w:color w:val="auto"/>
          <w:sz w:val="96"/>
          <w:szCs w:val="96"/>
          <w:highlight w:val="none"/>
        </w:rPr>
      </w:pPr>
    </w:p>
    <w:p>
      <w:pPr>
        <w:jc w:val="center"/>
        <w:rPr>
          <w:color w:val="auto"/>
          <w:sz w:val="28"/>
          <w:szCs w:val="28"/>
          <w:highlight w:val="none"/>
        </w:rPr>
      </w:pPr>
      <w:r>
        <w:rPr>
          <w:rFonts w:hint="eastAsia" w:ascii="宋体" w:hAnsi="宋体"/>
          <w:b/>
          <w:bCs/>
          <w:color w:val="auto"/>
          <w:sz w:val="96"/>
          <w:szCs w:val="96"/>
          <w:highlight w:val="none"/>
        </w:rPr>
        <w:t>招</w:t>
      </w:r>
      <w:r>
        <w:rPr>
          <w:rFonts w:hint="eastAsia" w:ascii="宋体" w:hAnsi="宋体"/>
          <w:b/>
          <w:bCs/>
          <w:color w:val="auto"/>
          <w:sz w:val="96"/>
          <w:szCs w:val="96"/>
          <w:highlight w:val="none"/>
          <w:lang w:val="en-US" w:eastAsia="zh-CN"/>
        </w:rPr>
        <w:t xml:space="preserve"> </w:t>
      </w:r>
      <w:r>
        <w:rPr>
          <w:rFonts w:hint="eastAsia" w:ascii="宋体"/>
          <w:b/>
          <w:bCs/>
          <w:color w:val="auto"/>
          <w:sz w:val="96"/>
          <w:szCs w:val="96"/>
          <w:highlight w:val="none"/>
        </w:rPr>
        <w:t>标</w:t>
      </w:r>
      <w:r>
        <w:rPr>
          <w:rFonts w:hint="eastAsia" w:ascii="宋体"/>
          <w:b/>
          <w:bCs/>
          <w:color w:val="auto"/>
          <w:sz w:val="96"/>
          <w:szCs w:val="96"/>
          <w:highlight w:val="none"/>
          <w:lang w:val="en-US" w:eastAsia="zh-CN"/>
        </w:rPr>
        <w:t xml:space="preserve"> </w:t>
      </w:r>
      <w:r>
        <w:rPr>
          <w:rFonts w:hint="eastAsia" w:ascii="宋体" w:hAnsi="宋体"/>
          <w:b/>
          <w:bCs/>
          <w:color w:val="auto"/>
          <w:sz w:val="96"/>
          <w:szCs w:val="96"/>
          <w:highlight w:val="none"/>
        </w:rPr>
        <w:t>文</w:t>
      </w:r>
      <w:r>
        <w:rPr>
          <w:rFonts w:hint="eastAsia" w:ascii="宋体" w:hAnsi="宋体"/>
          <w:b/>
          <w:bCs/>
          <w:color w:val="auto"/>
          <w:sz w:val="96"/>
          <w:szCs w:val="96"/>
          <w:highlight w:val="none"/>
          <w:lang w:val="en-US" w:eastAsia="zh-CN"/>
        </w:rPr>
        <w:t xml:space="preserve"> </w:t>
      </w:r>
      <w:r>
        <w:rPr>
          <w:rFonts w:hint="eastAsia" w:ascii="宋体" w:hAnsi="宋体"/>
          <w:b/>
          <w:bCs/>
          <w:color w:val="auto"/>
          <w:sz w:val="96"/>
          <w:szCs w:val="96"/>
          <w:highlight w:val="none"/>
        </w:rPr>
        <w:t>件</w:t>
      </w:r>
    </w:p>
    <w:p>
      <w:pPr>
        <w:spacing w:line="400" w:lineRule="exact"/>
        <w:jc w:val="center"/>
        <w:rPr>
          <w:rFonts w:ascii="宋体" w:hAnsi="宋体"/>
          <w:b/>
          <w:color w:val="auto"/>
          <w:sz w:val="39"/>
          <w:highlight w:val="none"/>
        </w:rPr>
      </w:pPr>
    </w:p>
    <w:p>
      <w:pPr>
        <w:spacing w:line="400" w:lineRule="exact"/>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highlight w:val="none"/>
        </w:rPr>
      </w:pPr>
    </w:p>
    <w:p>
      <w:pPr>
        <w:pStyle w:val="2"/>
      </w:pPr>
    </w:p>
    <w:p/>
    <w:p>
      <w:pPr>
        <w:pStyle w:val="2"/>
      </w:pPr>
    </w:p>
    <w:p/>
    <w:p>
      <w:pPr>
        <w:pStyle w:val="2"/>
      </w:pPr>
    </w:p>
    <w:p>
      <w:pPr>
        <w:spacing w:line="720" w:lineRule="exact"/>
        <w:rPr>
          <w:b/>
          <w:bCs/>
          <w:color w:val="auto"/>
          <w:sz w:val="28"/>
          <w:szCs w:val="28"/>
          <w:highlight w:val="none"/>
        </w:rPr>
      </w:pPr>
    </w:p>
    <w:p>
      <w:pPr>
        <w:spacing w:before="156" w:beforeLines="50" w:after="156" w:afterLines="50" w:line="700" w:lineRule="exact"/>
        <w:jc w:val="center"/>
        <w:outlineLvl w:val="0"/>
        <w:rPr>
          <w:rFonts w:hint="eastAsia" w:ascii="宋体"/>
          <w:b/>
          <w:sz w:val="32"/>
          <w:szCs w:val="32"/>
        </w:rPr>
      </w:pPr>
      <w:bookmarkStart w:id="12" w:name="_Toc25057"/>
      <w:bookmarkStart w:id="13" w:name="_Toc32059"/>
      <w:r>
        <w:rPr>
          <w:rFonts w:hint="eastAsia" w:ascii="宋体"/>
          <w:b/>
          <w:sz w:val="32"/>
          <w:szCs w:val="32"/>
        </w:rPr>
        <w:t>招 标 人：</w:t>
      </w:r>
      <w:r>
        <w:rPr>
          <w:rFonts w:hint="eastAsia" w:ascii="宋体"/>
          <w:b/>
          <w:sz w:val="32"/>
          <w:szCs w:val="32"/>
          <w:u w:val="single"/>
          <w:lang w:eastAsia="zh-CN"/>
        </w:rPr>
        <w:t>滁州市滁宁城际铁路开发建设有限公司</w:t>
      </w:r>
      <w:r>
        <w:rPr>
          <w:rFonts w:hint="eastAsia" w:ascii="宋体"/>
          <w:b/>
          <w:sz w:val="32"/>
          <w:szCs w:val="32"/>
        </w:rPr>
        <w:t>（盖单位章）</w:t>
      </w:r>
      <w:bookmarkEnd w:id="12"/>
      <w:bookmarkEnd w:id="13"/>
    </w:p>
    <w:p>
      <w:pPr>
        <w:spacing w:before="156" w:beforeLines="50" w:after="156" w:afterLines="50" w:line="700" w:lineRule="exact"/>
        <w:rPr>
          <w:rFonts w:hint="eastAsia" w:ascii="宋体"/>
          <w:b/>
          <w:sz w:val="32"/>
          <w:szCs w:val="32"/>
          <w:u w:val="single"/>
        </w:rPr>
      </w:pPr>
      <w:r>
        <w:rPr>
          <w:rFonts w:hint="eastAsia" w:ascii="宋体"/>
          <w:b/>
          <w:sz w:val="32"/>
          <w:szCs w:val="32"/>
        </w:rPr>
        <w:t>招标代理机构：</w:t>
      </w:r>
      <w:r>
        <w:rPr>
          <w:rFonts w:hint="eastAsia" w:ascii="宋体"/>
          <w:b/>
          <w:sz w:val="32"/>
          <w:szCs w:val="32"/>
          <w:u w:val="single"/>
        </w:rPr>
        <w:t>滁州市城投工程咨询管理有限公司</w:t>
      </w:r>
      <w:r>
        <w:rPr>
          <w:rFonts w:hint="eastAsia" w:ascii="宋体"/>
          <w:b/>
          <w:sz w:val="32"/>
          <w:szCs w:val="32"/>
        </w:rPr>
        <w:t>（盖单位章）</w:t>
      </w:r>
    </w:p>
    <w:p>
      <w:pPr>
        <w:spacing w:before="156" w:beforeLines="50" w:after="156" w:afterLines="50" w:line="700" w:lineRule="exact"/>
        <w:jc w:val="center"/>
        <w:rPr>
          <w:rFonts w:ascii="宋体"/>
          <w:b/>
          <w:color w:val="auto"/>
          <w:sz w:val="32"/>
          <w:szCs w:val="32"/>
        </w:rPr>
      </w:pPr>
      <w:r>
        <w:rPr>
          <w:rFonts w:hint="eastAsia" w:ascii="宋体"/>
          <w:b/>
          <w:color w:val="auto"/>
          <w:sz w:val="32"/>
          <w:szCs w:val="32"/>
          <w:u w:val="single"/>
        </w:rPr>
        <w:t>202</w:t>
      </w:r>
      <w:r>
        <w:rPr>
          <w:rFonts w:hint="eastAsia" w:ascii="宋体"/>
          <w:b/>
          <w:color w:val="auto"/>
          <w:sz w:val="32"/>
          <w:szCs w:val="32"/>
          <w:u w:val="single"/>
          <w:lang w:val="en-US" w:eastAsia="zh-CN"/>
        </w:rPr>
        <w:t>4</w:t>
      </w:r>
      <w:r>
        <w:rPr>
          <w:rFonts w:hint="eastAsia" w:ascii="宋体"/>
          <w:b/>
          <w:color w:val="auto"/>
          <w:sz w:val="32"/>
          <w:szCs w:val="32"/>
        </w:rPr>
        <w:t>年</w:t>
      </w:r>
      <w:r>
        <w:rPr>
          <w:rFonts w:hint="eastAsia" w:ascii="宋体"/>
          <w:b/>
          <w:color w:val="auto"/>
          <w:sz w:val="32"/>
          <w:szCs w:val="32"/>
          <w:u w:val="single"/>
        </w:rPr>
        <w:t xml:space="preserve"> </w:t>
      </w:r>
      <w:r>
        <w:rPr>
          <w:rFonts w:hint="eastAsia" w:ascii="宋体"/>
          <w:b/>
          <w:color w:val="auto"/>
          <w:sz w:val="32"/>
          <w:szCs w:val="32"/>
          <w:u w:val="single"/>
          <w:lang w:val="en-US" w:eastAsia="zh-CN"/>
        </w:rPr>
        <w:t>12</w:t>
      </w:r>
      <w:r>
        <w:rPr>
          <w:rFonts w:hint="eastAsia" w:ascii="宋体"/>
          <w:b/>
          <w:color w:val="auto"/>
          <w:sz w:val="32"/>
          <w:szCs w:val="32"/>
        </w:rPr>
        <w:t>月</w:t>
      </w:r>
      <w:r>
        <w:rPr>
          <w:rFonts w:hint="eastAsia" w:ascii="宋体"/>
          <w:b/>
          <w:color w:val="auto"/>
          <w:sz w:val="32"/>
          <w:szCs w:val="32"/>
          <w:u w:val="single"/>
          <w:lang w:val="en-US" w:eastAsia="zh-CN"/>
        </w:rPr>
        <w:t>20</w:t>
      </w:r>
      <w:r>
        <w:rPr>
          <w:rFonts w:hint="eastAsia" w:ascii="宋体"/>
          <w:b/>
          <w:color w:val="auto"/>
          <w:sz w:val="32"/>
          <w:szCs w:val="32"/>
        </w:rPr>
        <w:t>日</w:t>
      </w:r>
    </w:p>
    <w:p>
      <w:pPr>
        <w:jc w:val="center"/>
        <w:rPr>
          <w:sz w:val="44"/>
          <w:szCs w:val="44"/>
          <w:highlight w:val="none"/>
        </w:rPr>
        <w:sectPr>
          <w:headerReference r:id="rId3" w:type="default"/>
          <w:footerReference r:id="rId4" w:type="default"/>
          <w:pgSz w:w="11906" w:h="16838"/>
          <w:pgMar w:top="1134" w:right="1417" w:bottom="1134" w:left="1417" w:header="851" w:footer="992" w:gutter="0"/>
          <w:pgNumType w:fmt="decimal"/>
          <w:cols w:space="720" w:num="1"/>
          <w:docGrid w:type="lines" w:linePitch="312" w:charSpace="0"/>
        </w:sectPr>
      </w:pPr>
    </w:p>
    <w:p>
      <w:pPr>
        <w:spacing w:line="700" w:lineRule="exact"/>
        <w:jc w:val="center"/>
        <w:rPr>
          <w:rFonts w:hint="eastAsia"/>
          <w:sz w:val="44"/>
          <w:szCs w:val="44"/>
          <w:highlight w:val="none"/>
        </w:rPr>
      </w:pPr>
    </w:p>
    <w:p>
      <w:pPr>
        <w:spacing w:line="700" w:lineRule="exact"/>
        <w:jc w:val="center"/>
        <w:rPr>
          <w:sz w:val="44"/>
          <w:szCs w:val="44"/>
          <w:highlight w:val="none"/>
        </w:rPr>
      </w:pPr>
      <w:r>
        <w:rPr>
          <w:rFonts w:hint="eastAsia"/>
          <w:sz w:val="44"/>
          <w:szCs w:val="44"/>
          <w:highlight w:val="none"/>
        </w:rPr>
        <w:t>目   录</w:t>
      </w:r>
      <w:bookmarkEnd w:id="0"/>
      <w:bookmarkEnd w:id="1"/>
      <w:bookmarkEnd w:id="2"/>
      <w:bookmarkEnd w:id="3"/>
      <w:bookmarkEnd w:id="4"/>
      <w:bookmarkEnd w:id="5"/>
      <w:bookmarkEnd w:id="6"/>
      <w:bookmarkStart w:id="14" w:name="_Toc144974479"/>
      <w:bookmarkStart w:id="15" w:name="_Toc179632527"/>
      <w:bookmarkStart w:id="16" w:name="_Toc152045511"/>
      <w:bookmarkStart w:id="17" w:name="_Toc152042287"/>
    </w:p>
    <w:p>
      <w:pPr>
        <w:pStyle w:val="32"/>
        <w:tabs>
          <w:tab w:val="right" w:leader="dot" w:pos="9062"/>
        </w:tabs>
        <w:spacing w:line="700" w:lineRule="exact"/>
        <w:ind w:firstLine="480" w:firstLineChars="200"/>
        <w:rPr>
          <w:rFonts w:hint="default" w:ascii="宋体" w:hAnsi="宋体" w:eastAsia="宋体" w:cs="宋体"/>
          <w:b w:val="0"/>
          <w:bCs w:val="0"/>
          <w:caps w:val="0"/>
          <w:sz w:val="24"/>
          <w:szCs w:val="24"/>
          <w:highlight w:val="none"/>
          <w:lang w:val="en-US" w:eastAsia="zh-CN"/>
        </w:rPr>
      </w:pPr>
      <w:r>
        <w:rPr>
          <w:rFonts w:hint="eastAsia" w:ascii="宋体" w:hAnsi="宋体" w:cs="宋体"/>
          <w:b w:val="0"/>
          <w:bCs w:val="0"/>
          <w:caps w:val="0"/>
          <w:sz w:val="24"/>
          <w:szCs w:val="24"/>
          <w:highlight w:val="none"/>
          <w:lang w:val="en-US" w:eastAsia="zh-CN"/>
        </w:rPr>
        <w:t>招标公告信息..................................................1</w:t>
      </w:r>
    </w:p>
    <w:p>
      <w:pPr>
        <w:pStyle w:val="32"/>
        <w:tabs>
          <w:tab w:val="right" w:leader="dot" w:pos="9062"/>
        </w:tabs>
        <w:spacing w:line="700" w:lineRule="exact"/>
        <w:ind w:firstLine="480" w:firstLineChars="200"/>
        <w:rPr>
          <w:rFonts w:hint="default" w:ascii="宋体" w:hAnsi="宋体" w:eastAsia="宋体" w:cs="宋体"/>
          <w:b w:val="0"/>
          <w:bCs w:val="0"/>
          <w:caps w:val="0"/>
          <w:sz w:val="24"/>
          <w:szCs w:val="24"/>
          <w:highlight w:val="none"/>
          <w:lang w:val="en-US" w:eastAsia="zh-CN"/>
        </w:rPr>
      </w:pPr>
      <w:r>
        <w:rPr>
          <w:rFonts w:hint="eastAsia" w:ascii="宋体" w:hAnsi="宋体" w:cs="宋体"/>
          <w:b w:val="0"/>
          <w:bCs w:val="0"/>
          <w:caps w:val="0"/>
          <w:sz w:val="24"/>
          <w:szCs w:val="24"/>
          <w:highlight w:val="none"/>
          <w:lang w:val="en-US" w:eastAsia="zh-CN"/>
        </w:rPr>
        <w:t>第一章 投标人须知.............................................4</w:t>
      </w:r>
    </w:p>
    <w:p>
      <w:pPr>
        <w:pStyle w:val="32"/>
        <w:tabs>
          <w:tab w:val="right" w:leader="dot" w:pos="9062"/>
        </w:tabs>
        <w:spacing w:line="700" w:lineRule="exact"/>
        <w:ind w:firstLine="480" w:firstLineChars="200"/>
        <w:rPr>
          <w:rFonts w:hint="default" w:ascii="宋体" w:hAnsi="宋体" w:eastAsia="宋体" w:cs="宋体"/>
          <w:b w:val="0"/>
          <w:bCs w:val="0"/>
          <w:caps w:val="0"/>
          <w:sz w:val="24"/>
          <w:szCs w:val="24"/>
          <w:highlight w:val="none"/>
          <w:lang w:val="en-US" w:eastAsia="zh-CN"/>
        </w:rPr>
      </w:pPr>
      <w:r>
        <w:rPr>
          <w:rFonts w:hint="eastAsia" w:ascii="宋体" w:hAnsi="宋体" w:cs="宋体"/>
          <w:b w:val="0"/>
          <w:bCs w:val="0"/>
          <w:caps w:val="0"/>
          <w:sz w:val="24"/>
          <w:szCs w:val="24"/>
          <w:highlight w:val="none"/>
          <w:lang w:val="en-US" w:eastAsia="zh-CN"/>
        </w:rPr>
        <w:t xml:space="preserve">第二章 </w:t>
      </w:r>
      <w:r>
        <w:rPr>
          <w:rFonts w:hint="eastAsia" w:ascii="宋体" w:hAnsi="宋体" w:eastAsia="宋体" w:cs="宋体"/>
          <w:b w:val="0"/>
          <w:bCs w:val="0"/>
          <w:caps w:val="0"/>
          <w:sz w:val="24"/>
          <w:szCs w:val="24"/>
          <w:highlight w:val="none"/>
          <w:lang w:val="en-US" w:eastAsia="zh-CN"/>
        </w:rPr>
        <w:t>资格审查办法</w:t>
      </w:r>
      <w:r>
        <w:rPr>
          <w:rFonts w:hint="eastAsia" w:ascii="宋体" w:hAnsi="宋体" w:cs="宋体"/>
          <w:b w:val="0"/>
          <w:bCs w:val="0"/>
          <w:caps w:val="0"/>
          <w:sz w:val="24"/>
          <w:szCs w:val="24"/>
          <w:highlight w:val="none"/>
          <w:lang w:val="en-US" w:eastAsia="zh-CN"/>
        </w:rPr>
        <w:t>...........................................20</w:t>
      </w:r>
    </w:p>
    <w:p>
      <w:pPr>
        <w:pStyle w:val="32"/>
        <w:tabs>
          <w:tab w:val="right" w:leader="dot" w:pos="9062"/>
        </w:tabs>
        <w:spacing w:line="700" w:lineRule="exact"/>
        <w:ind w:firstLine="480" w:firstLineChars="200"/>
        <w:rPr>
          <w:rFonts w:hint="default" w:ascii="宋体" w:hAnsi="宋体" w:eastAsia="宋体" w:cs="宋体"/>
          <w:b w:val="0"/>
          <w:bCs w:val="0"/>
          <w:caps w:val="0"/>
          <w:sz w:val="24"/>
          <w:szCs w:val="24"/>
          <w:highlight w:val="none"/>
          <w:lang w:val="en-US" w:eastAsia="zh-CN"/>
        </w:rPr>
      </w:pPr>
      <w:r>
        <w:rPr>
          <w:rFonts w:hint="eastAsia" w:ascii="宋体" w:hAnsi="宋体" w:cs="宋体"/>
          <w:b w:val="0"/>
          <w:bCs w:val="0"/>
          <w:caps w:val="0"/>
          <w:sz w:val="24"/>
          <w:szCs w:val="24"/>
          <w:highlight w:val="none"/>
          <w:lang w:val="en-US" w:eastAsia="zh-CN"/>
        </w:rPr>
        <w:t>第三章 评标办法...............................................22</w:t>
      </w:r>
    </w:p>
    <w:p>
      <w:pPr>
        <w:pStyle w:val="32"/>
        <w:tabs>
          <w:tab w:val="right" w:leader="dot" w:pos="9062"/>
        </w:tabs>
        <w:spacing w:line="700" w:lineRule="exact"/>
        <w:ind w:firstLine="480" w:firstLineChars="200"/>
        <w:rPr>
          <w:rFonts w:hint="default" w:ascii="宋体" w:hAnsi="宋体" w:eastAsia="宋体" w:cs="宋体"/>
          <w:b w:val="0"/>
          <w:bCs w:val="0"/>
          <w:caps w:val="0"/>
          <w:sz w:val="24"/>
          <w:szCs w:val="24"/>
          <w:highlight w:val="none"/>
          <w:lang w:val="en-US" w:eastAsia="zh-CN"/>
        </w:rPr>
      </w:pPr>
      <w:r>
        <w:rPr>
          <w:rFonts w:hint="eastAsia" w:ascii="宋体" w:hAnsi="宋体" w:cs="宋体"/>
          <w:b w:val="0"/>
          <w:bCs w:val="0"/>
          <w:caps w:val="0"/>
          <w:sz w:val="24"/>
          <w:szCs w:val="24"/>
          <w:highlight w:val="none"/>
          <w:lang w:val="en-US" w:eastAsia="zh-CN"/>
        </w:rPr>
        <w:t xml:space="preserve">第四章 </w:t>
      </w:r>
      <w:r>
        <w:rPr>
          <w:rFonts w:hint="eastAsia" w:ascii="宋体" w:hAnsi="宋体" w:eastAsia="宋体" w:cs="宋体"/>
          <w:b w:val="0"/>
          <w:bCs w:val="0"/>
          <w:caps w:val="0"/>
          <w:sz w:val="24"/>
          <w:szCs w:val="24"/>
          <w:highlight w:val="none"/>
          <w:lang w:val="en-US" w:eastAsia="zh-CN"/>
        </w:rPr>
        <w:t>合同条款及格式</w:t>
      </w:r>
      <w:r>
        <w:rPr>
          <w:rFonts w:hint="eastAsia" w:ascii="宋体" w:hAnsi="宋体" w:cs="宋体"/>
          <w:b w:val="0"/>
          <w:bCs w:val="0"/>
          <w:caps w:val="0"/>
          <w:sz w:val="24"/>
          <w:szCs w:val="24"/>
          <w:highlight w:val="none"/>
          <w:lang w:val="en-US" w:eastAsia="zh-CN"/>
        </w:rPr>
        <w:t>.........................................29</w:t>
      </w:r>
    </w:p>
    <w:p>
      <w:pPr>
        <w:pStyle w:val="32"/>
        <w:tabs>
          <w:tab w:val="right" w:leader="dot" w:pos="9062"/>
        </w:tabs>
        <w:spacing w:line="700" w:lineRule="exact"/>
        <w:ind w:firstLine="480" w:firstLineChars="200"/>
        <w:rPr>
          <w:rFonts w:hint="default" w:ascii="宋体" w:hAnsi="宋体" w:cs="宋体"/>
          <w:b w:val="0"/>
          <w:bCs w:val="0"/>
          <w:caps w:val="0"/>
          <w:sz w:val="24"/>
          <w:szCs w:val="24"/>
          <w:highlight w:val="none"/>
          <w:lang w:val="en-US" w:eastAsia="zh-CN"/>
        </w:rPr>
      </w:pPr>
      <w:r>
        <w:rPr>
          <w:rFonts w:hint="eastAsia" w:ascii="宋体" w:hAnsi="宋体" w:cs="宋体"/>
          <w:b w:val="0"/>
          <w:bCs w:val="0"/>
          <w:caps w:val="0"/>
          <w:sz w:val="24"/>
          <w:szCs w:val="24"/>
          <w:highlight w:val="none"/>
          <w:lang w:val="en-US" w:eastAsia="zh-CN"/>
        </w:rPr>
        <w:t xml:space="preserve">第五章 </w:t>
      </w:r>
      <w:r>
        <w:rPr>
          <w:rFonts w:hint="eastAsia" w:ascii="宋体" w:hAnsi="宋体" w:eastAsia="宋体" w:cs="宋体"/>
          <w:b w:val="0"/>
          <w:bCs w:val="0"/>
          <w:caps w:val="0"/>
          <w:sz w:val="24"/>
          <w:szCs w:val="24"/>
          <w:highlight w:val="none"/>
          <w:lang w:val="en-US" w:eastAsia="zh-CN"/>
        </w:rPr>
        <w:t>图纸</w:t>
      </w:r>
      <w:r>
        <w:rPr>
          <w:rFonts w:hint="eastAsia" w:ascii="宋体" w:hAnsi="宋体" w:cs="宋体"/>
          <w:b w:val="0"/>
          <w:bCs w:val="0"/>
          <w:caps w:val="0"/>
          <w:sz w:val="24"/>
          <w:szCs w:val="24"/>
          <w:highlight w:val="none"/>
          <w:lang w:val="en-US" w:eastAsia="zh-CN"/>
        </w:rPr>
        <w:t>...................................................70</w:t>
      </w:r>
    </w:p>
    <w:p>
      <w:pPr>
        <w:pStyle w:val="32"/>
        <w:tabs>
          <w:tab w:val="right" w:leader="dot" w:pos="9062"/>
        </w:tabs>
        <w:spacing w:line="700" w:lineRule="exact"/>
        <w:ind w:firstLine="480" w:firstLineChars="200"/>
        <w:rPr>
          <w:rFonts w:hint="eastAsia" w:ascii="宋体" w:hAnsi="宋体" w:cs="宋体"/>
          <w:b w:val="0"/>
          <w:bCs w:val="0"/>
          <w:caps w:val="0"/>
          <w:sz w:val="24"/>
          <w:szCs w:val="24"/>
          <w:highlight w:val="none"/>
          <w:lang w:val="en-US" w:eastAsia="zh-CN"/>
        </w:rPr>
      </w:pPr>
      <w:r>
        <w:rPr>
          <w:rFonts w:hint="eastAsia" w:ascii="宋体" w:hAnsi="宋体" w:cs="宋体"/>
          <w:b w:val="0"/>
          <w:bCs w:val="0"/>
          <w:caps w:val="0"/>
          <w:sz w:val="24"/>
          <w:szCs w:val="24"/>
          <w:highlight w:val="none"/>
          <w:lang w:val="en-US" w:eastAsia="zh-CN"/>
        </w:rPr>
        <w:t xml:space="preserve">第六章 </w:t>
      </w:r>
      <w:r>
        <w:rPr>
          <w:rFonts w:hint="eastAsia" w:ascii="宋体" w:hAnsi="宋体" w:eastAsia="宋体" w:cs="宋体"/>
          <w:b w:val="0"/>
          <w:bCs w:val="0"/>
          <w:caps w:val="0"/>
          <w:sz w:val="24"/>
          <w:szCs w:val="24"/>
          <w:highlight w:val="none"/>
          <w:lang w:val="en-US" w:eastAsia="zh-CN"/>
        </w:rPr>
        <w:t>投标文件格式</w:t>
      </w:r>
      <w:r>
        <w:rPr>
          <w:rFonts w:hint="eastAsia" w:ascii="宋体" w:hAnsi="宋体" w:cs="宋体"/>
          <w:b w:val="0"/>
          <w:bCs w:val="0"/>
          <w:caps w:val="0"/>
          <w:sz w:val="24"/>
          <w:szCs w:val="24"/>
          <w:highlight w:val="none"/>
          <w:lang w:val="en-US" w:eastAsia="zh-CN"/>
        </w:rPr>
        <w:t>...........................................71</w:t>
      </w:r>
    </w:p>
    <w:p>
      <w:pPr>
        <w:pStyle w:val="32"/>
        <w:tabs>
          <w:tab w:val="right" w:leader="dot" w:pos="9062"/>
        </w:tabs>
        <w:spacing w:line="700" w:lineRule="exact"/>
        <w:ind w:firstLine="480" w:firstLineChars="200"/>
        <w:rPr>
          <w:rFonts w:hint="default" w:ascii="宋体" w:hAnsi="宋体" w:eastAsia="宋体" w:cs="宋体"/>
          <w:b w:val="0"/>
          <w:bCs w:val="0"/>
          <w:caps w:val="0"/>
          <w:sz w:val="24"/>
          <w:szCs w:val="24"/>
          <w:highlight w:val="none"/>
          <w:lang w:val="en-US" w:eastAsia="zh-CN"/>
        </w:rPr>
      </w:pPr>
      <w:r>
        <w:rPr>
          <w:rFonts w:hint="eastAsia" w:ascii="宋体" w:hAnsi="宋体" w:cs="宋体"/>
          <w:b w:val="0"/>
          <w:bCs w:val="0"/>
          <w:caps w:val="0"/>
          <w:sz w:val="24"/>
          <w:szCs w:val="24"/>
          <w:highlight w:val="none"/>
          <w:lang w:val="en-US" w:eastAsia="zh-CN"/>
        </w:rPr>
        <w:t xml:space="preserve">第七章 </w:t>
      </w:r>
      <w:r>
        <w:rPr>
          <w:rFonts w:hint="eastAsia" w:ascii="宋体" w:hAnsi="宋体" w:eastAsia="宋体" w:cs="宋体"/>
          <w:b w:val="0"/>
          <w:bCs w:val="0"/>
          <w:caps w:val="0"/>
          <w:sz w:val="24"/>
          <w:szCs w:val="24"/>
          <w:highlight w:val="none"/>
          <w:lang w:val="en-US" w:eastAsia="zh-CN"/>
        </w:rPr>
        <w:t>招标单位、招标代理机构对本招标文件的确认</w:t>
      </w:r>
      <w:r>
        <w:rPr>
          <w:rFonts w:hint="eastAsia" w:ascii="宋体" w:hAnsi="宋体" w:cs="宋体"/>
          <w:b w:val="0"/>
          <w:bCs w:val="0"/>
          <w:caps w:val="0"/>
          <w:sz w:val="24"/>
          <w:szCs w:val="24"/>
          <w:highlight w:val="none"/>
          <w:lang w:val="en-US" w:eastAsia="zh-CN"/>
        </w:rPr>
        <w:t>...............82</w:t>
      </w:r>
    </w:p>
    <w:p>
      <w:pPr>
        <w:pStyle w:val="2"/>
        <w:spacing w:line="700" w:lineRule="exact"/>
        <w:ind w:left="0" w:leftChars="0" w:firstLine="480"/>
        <w:jc w:val="left"/>
        <w:rPr>
          <w:sz w:val="24"/>
          <w:szCs w:val="24"/>
          <w:highlight w:val="none"/>
        </w:rPr>
      </w:pPr>
    </w:p>
    <w:p>
      <w:pPr>
        <w:pStyle w:val="43"/>
        <w:spacing w:line="700" w:lineRule="exact"/>
        <w:jc w:val="left"/>
        <w:rPr>
          <w:sz w:val="24"/>
          <w:szCs w:val="24"/>
          <w:highlight w:val="none"/>
        </w:rPr>
        <w:sectPr>
          <w:footerReference r:id="rId5" w:type="default"/>
          <w:pgSz w:w="11906" w:h="16838"/>
          <w:pgMar w:top="1134" w:right="1417" w:bottom="1134" w:left="1417" w:header="851" w:footer="992" w:gutter="0"/>
          <w:pgNumType w:fmt="decimal" w:start="1"/>
          <w:cols w:space="720" w:num="1"/>
          <w:docGrid w:type="lines" w:linePitch="312" w:charSpace="0"/>
        </w:sectPr>
      </w:pPr>
    </w:p>
    <w:bookmarkEnd w:id="14"/>
    <w:bookmarkEnd w:id="15"/>
    <w:bookmarkEnd w:id="16"/>
    <w:bookmarkEnd w:id="17"/>
    <w:p>
      <w:pPr>
        <w:pStyle w:val="43"/>
        <w:keepNext w:val="0"/>
        <w:keepLines w:val="0"/>
        <w:pageBreakBefore w:val="0"/>
        <w:widowControl w:val="0"/>
        <w:kinsoku/>
        <w:wordWrap/>
        <w:overflowPunct/>
        <w:topLinePunct w:val="0"/>
        <w:autoSpaceDE/>
        <w:autoSpaceDN/>
        <w:bidi w:val="0"/>
        <w:adjustRightInd w:val="0"/>
        <w:snapToGrid/>
        <w:spacing w:beforeLines="50" w:afterLines="50" w:line="400" w:lineRule="exact"/>
        <w:textAlignment w:val="baseline"/>
        <w:rPr>
          <w:bCs/>
          <w:szCs w:val="32"/>
          <w:highlight w:val="none"/>
        </w:rPr>
      </w:pPr>
      <w:bookmarkStart w:id="18" w:name="_Toc78803320"/>
      <w:bookmarkStart w:id="19" w:name="_Toc35424883"/>
      <w:bookmarkStart w:id="20" w:name="_Toc35425050"/>
      <w:bookmarkStart w:id="21" w:name="_Toc152045527"/>
      <w:bookmarkStart w:id="22" w:name="_Toc246996916"/>
      <w:bookmarkStart w:id="23" w:name="_Toc15058844"/>
      <w:bookmarkStart w:id="24" w:name="_Toc324404813"/>
      <w:bookmarkStart w:id="25" w:name="_Toc246996173"/>
      <w:bookmarkStart w:id="26" w:name="_Toc247085687"/>
      <w:bookmarkStart w:id="27" w:name="_Toc506107267"/>
      <w:bookmarkStart w:id="28" w:name="_Toc152042303"/>
      <w:bookmarkStart w:id="29" w:name="_Toc144974495"/>
      <w:bookmarkStart w:id="30" w:name="_Toc179632544"/>
      <w:r>
        <w:rPr>
          <w:rFonts w:hint="eastAsia"/>
          <w:bCs/>
          <w:color w:val="auto"/>
          <w:szCs w:val="32"/>
          <w:highlight w:val="none"/>
          <w:lang w:eastAsia="zh-CN"/>
        </w:rPr>
        <w:t>滁宁城际铁路金陵路管线迁改苗木恢复工程</w:t>
      </w:r>
      <w:r>
        <w:rPr>
          <w:rFonts w:hint="eastAsia"/>
          <w:bCs/>
          <w:color w:val="auto"/>
          <w:szCs w:val="32"/>
          <w:highlight w:val="none"/>
        </w:rPr>
        <w:t>招标</w:t>
      </w:r>
      <w:r>
        <w:rPr>
          <w:rFonts w:hint="eastAsia"/>
          <w:bCs/>
          <w:szCs w:val="32"/>
          <w:highlight w:val="none"/>
        </w:rPr>
        <w:t>公告信息</w:t>
      </w:r>
      <w:bookmarkEnd w:id="18"/>
    </w:p>
    <w:tbl>
      <w:tblPr>
        <w:tblStyle w:val="46"/>
        <w:tblW w:w="9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7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pPr>
              <w:keepNext w:val="0"/>
              <w:keepLines w:val="0"/>
              <w:pageBreakBefore w:val="0"/>
              <w:kinsoku/>
              <w:overflowPunct/>
              <w:topLinePunct w:val="0"/>
              <w:autoSpaceDE/>
              <w:autoSpaceDN/>
              <w:bidi w:val="0"/>
              <w:adjustRightInd/>
              <w:snapToGrid/>
              <w:spacing w:line="400" w:lineRule="exact"/>
              <w:jc w:val="center"/>
              <w:textAlignment w:val="auto"/>
              <w:rPr>
                <w:rFonts w:hint="eastAsia" w:ascii="宋体" w:hAnsi="宋体" w:eastAsia="宋体" w:cs="宋体"/>
                <w:bCs/>
                <w:color w:val="auto"/>
                <w:kern w:val="1"/>
                <w:sz w:val="21"/>
                <w:szCs w:val="21"/>
                <w:highlight w:val="none"/>
              </w:rPr>
            </w:pPr>
            <w:r>
              <w:rPr>
                <w:rFonts w:hint="eastAsia" w:ascii="宋体" w:hAnsi="宋体" w:eastAsia="宋体" w:cs="宋体"/>
                <w:b/>
                <w:bCs/>
                <w:color w:val="auto"/>
                <w:sz w:val="21"/>
                <w:szCs w:val="21"/>
                <w:highlight w:val="none"/>
              </w:rPr>
              <w:t>招标条件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933"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kern w:val="1"/>
                <w:sz w:val="21"/>
                <w:szCs w:val="21"/>
                <w:highlight w:val="none"/>
              </w:rPr>
            </w:pPr>
            <w:r>
              <w:rPr>
                <w:rFonts w:hint="eastAsia" w:ascii="宋体" w:hAnsi="宋体" w:eastAsia="宋体" w:cs="宋体"/>
                <w:bCs/>
                <w:color w:val="auto"/>
                <w:kern w:val="1"/>
                <w:sz w:val="21"/>
                <w:szCs w:val="21"/>
                <w:highlight w:val="none"/>
              </w:rPr>
              <w:t>项目</w:t>
            </w:r>
            <w:r>
              <w:rPr>
                <w:rFonts w:hint="eastAsia" w:ascii="宋体" w:hAnsi="宋体" w:eastAsia="宋体" w:cs="宋体"/>
                <w:color w:val="auto"/>
                <w:kern w:val="0"/>
                <w:sz w:val="21"/>
                <w:szCs w:val="21"/>
                <w:highlight w:val="none"/>
              </w:rPr>
              <w:t>名称</w:t>
            </w:r>
          </w:p>
        </w:tc>
        <w:tc>
          <w:tcPr>
            <w:tcW w:w="7997" w:type="dxa"/>
            <w:noWrap w:val="0"/>
            <w:vAlign w:val="top"/>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bCs/>
                <w:color w:val="auto"/>
                <w:kern w:val="1"/>
                <w:sz w:val="21"/>
                <w:szCs w:val="21"/>
                <w:highlight w:val="none"/>
                <w:lang w:eastAsia="zh-CN"/>
              </w:rPr>
            </w:pPr>
            <w:r>
              <w:rPr>
                <w:rFonts w:hint="eastAsia" w:ascii="宋体" w:hAnsi="宋体" w:cs="宋体"/>
                <w:bCs/>
                <w:color w:val="auto"/>
                <w:kern w:val="1"/>
                <w:sz w:val="21"/>
                <w:szCs w:val="21"/>
                <w:highlight w:val="none"/>
                <w:lang w:eastAsia="zh-CN"/>
              </w:rPr>
              <w:t>滁宁城际铁路金陵路管线迁改苗木恢复工程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snapToGrid w:val="0"/>
                <w:color w:val="auto"/>
                <w:kern w:val="0"/>
                <w:sz w:val="21"/>
                <w:szCs w:val="21"/>
                <w:highlight w:val="none"/>
              </w:rPr>
              <w:t>招标人</w:t>
            </w:r>
          </w:p>
        </w:tc>
        <w:tc>
          <w:tcPr>
            <w:tcW w:w="7997" w:type="dxa"/>
            <w:noWrap w:val="0"/>
            <w:vAlign w:val="center"/>
          </w:tcPr>
          <w:p>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bCs/>
                <w:color w:val="auto"/>
                <w:kern w:val="1"/>
                <w:sz w:val="21"/>
                <w:szCs w:val="21"/>
                <w:highlight w:val="none"/>
                <w:lang w:eastAsia="zh-CN"/>
              </w:rPr>
            </w:pPr>
            <w:r>
              <w:rPr>
                <w:rFonts w:hint="eastAsia" w:ascii="宋体" w:hAnsi="宋体" w:cs="宋体"/>
                <w:bCs/>
                <w:color w:val="auto"/>
                <w:kern w:val="1"/>
                <w:sz w:val="21"/>
                <w:szCs w:val="21"/>
                <w:highlight w:val="none"/>
                <w:lang w:eastAsia="zh-CN"/>
              </w:rPr>
              <w:t>滁州市滁宁城际铁路开发建设有限公司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项目业主</w:t>
            </w:r>
          </w:p>
        </w:tc>
        <w:tc>
          <w:tcPr>
            <w:tcW w:w="7997" w:type="dxa"/>
            <w:noWrap w:val="0"/>
            <w:vAlign w:val="center"/>
          </w:tcPr>
          <w:p>
            <w:pPr>
              <w:keepNext w:val="0"/>
              <w:keepLines w:val="0"/>
              <w:pageBreakBefore w:val="0"/>
              <w:widowControl/>
              <w:shd w:val="clear" w:color="auto" w:fill="auto"/>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滁州市滁宁城际铁路开发建设有限公司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资金来源</w:t>
            </w:r>
          </w:p>
        </w:tc>
        <w:tc>
          <w:tcPr>
            <w:tcW w:w="7997" w:type="dxa"/>
            <w:noWrap w:val="0"/>
            <w:vAlign w:val="center"/>
          </w:tcPr>
          <w:p>
            <w:pPr>
              <w:keepNext w:val="0"/>
              <w:keepLines w:val="0"/>
              <w:pageBreakBefore w:val="0"/>
              <w:widowControl/>
              <w:kinsoku/>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项目出资比例</w:t>
            </w:r>
          </w:p>
        </w:tc>
        <w:tc>
          <w:tcPr>
            <w:tcW w:w="7997" w:type="dxa"/>
            <w:noWrap w:val="0"/>
            <w:vAlign w:val="center"/>
          </w:tcPr>
          <w:p>
            <w:pPr>
              <w:keepNext w:val="0"/>
              <w:keepLines w:val="0"/>
              <w:pageBreakBefore w:val="0"/>
              <w:widowControl/>
              <w:kinsoku/>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招标方式</w:t>
            </w:r>
          </w:p>
        </w:tc>
        <w:tc>
          <w:tcPr>
            <w:tcW w:w="7997" w:type="dxa"/>
            <w:noWrap w:val="0"/>
            <w:vAlign w:val="center"/>
          </w:tcPr>
          <w:p>
            <w:pPr>
              <w:keepNext w:val="0"/>
              <w:keepLines w:val="0"/>
              <w:pageBreakBefore w:val="0"/>
              <w:widowControl/>
              <w:kinsoku/>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评标办法</w:t>
            </w:r>
          </w:p>
        </w:tc>
        <w:tc>
          <w:tcPr>
            <w:tcW w:w="7997" w:type="dxa"/>
            <w:noWrap w:val="0"/>
            <w:vAlign w:val="center"/>
          </w:tcPr>
          <w:p>
            <w:pPr>
              <w:keepNext w:val="0"/>
              <w:keepLines w:val="0"/>
              <w:pageBreakBefore w:val="0"/>
              <w:widowControl/>
              <w:kinsoku/>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经评审最低价法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项目概况与招标范围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招标项目名称</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滁宁城际铁路金陵路管线迁改苗木恢复工程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标段划分</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szCs w:val="21"/>
                <w:highlight w:val="none"/>
                <w:lang w:val="en-US" w:eastAsia="zh-CN"/>
              </w:rPr>
              <w:t>一个标段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建设地点</w:t>
            </w:r>
          </w:p>
        </w:tc>
        <w:tc>
          <w:tcPr>
            <w:tcW w:w="7997" w:type="dxa"/>
            <w:noWrap w:val="0"/>
            <w:vAlign w:val="center"/>
          </w:tcPr>
          <w:p>
            <w:pPr>
              <w:pStyle w:val="2"/>
              <w:keepNext w:val="0"/>
              <w:keepLines w:val="0"/>
              <w:pageBreakBefore w:val="0"/>
              <w:kinsoku/>
              <w:wordWrap/>
              <w:overflowPunct/>
              <w:topLinePunct w:val="0"/>
              <w:autoSpaceDE/>
              <w:autoSpaceDN/>
              <w:bidi w:val="0"/>
              <w:adjustRightInd/>
              <w:snapToGrid/>
              <w:spacing w:after="0" w:afterLines="0" w:line="400" w:lineRule="exact"/>
              <w:ind w:left="0" w:leftChars="0" w:firstLine="0" w:firstLineChars="0"/>
              <w:textAlignment w:val="auto"/>
              <w:rPr>
                <w:rFonts w:hint="eastAsia" w:ascii="宋体" w:hAnsi="宋体" w:eastAsia="宋体" w:cs="宋体"/>
                <w:szCs w:val="21"/>
              </w:rPr>
            </w:pPr>
            <w:r>
              <w:rPr>
                <w:rFonts w:hint="eastAsia" w:ascii="宋体" w:hAnsi="宋体" w:eastAsia="宋体" w:cs="宋体"/>
                <w:szCs w:val="21"/>
                <w:lang w:val="en-US" w:eastAsia="zh-CN"/>
              </w:rPr>
              <w:t>招标人指定地点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建设规模</w:t>
            </w:r>
          </w:p>
        </w:tc>
        <w:tc>
          <w:tcPr>
            <w:tcW w:w="7997" w:type="dxa"/>
            <w:noWrap w:val="0"/>
            <w:vAlign w:val="center"/>
          </w:tcPr>
          <w:p>
            <w:pPr>
              <w:pStyle w:val="2"/>
              <w:keepNext w:val="0"/>
              <w:keepLines w:val="0"/>
              <w:pageBreakBefore w:val="0"/>
              <w:kinsoku/>
              <w:wordWrap/>
              <w:overflowPunct/>
              <w:topLinePunct w:val="0"/>
              <w:autoSpaceDE/>
              <w:autoSpaceDN/>
              <w:bidi w:val="0"/>
              <w:adjustRightInd/>
              <w:snapToGrid/>
              <w:spacing w:after="0" w:afterLines="0" w:line="400" w:lineRule="exact"/>
              <w:ind w:left="0" w:leftChars="0" w:firstLine="0" w:firstLineChars="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工程内容包括园林种植土回填、苗木栽植、苗木保护、苗木养护等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合同估算价</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cs="宋体"/>
                <w:szCs w:val="21"/>
                <w:highlight w:val="none"/>
              </w:rPr>
              <w:t>本工程总投资约</w:t>
            </w:r>
            <w:r>
              <w:rPr>
                <w:rFonts w:hint="eastAsia" w:ascii="宋体" w:hAnsi="宋体" w:cs="宋体"/>
                <w:color w:val="auto"/>
                <w:szCs w:val="21"/>
                <w:highlight w:val="none"/>
                <w:lang w:val="en-US" w:eastAsia="zh-CN"/>
              </w:rPr>
              <w:t>37万元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计划工期</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不高于180</w:t>
            </w:r>
            <w:r>
              <w:rPr>
                <w:rFonts w:hint="eastAsia" w:ascii="宋体" w:hAnsi="宋体" w:eastAsia="宋体" w:cs="宋体"/>
                <w:color w:val="auto"/>
                <w:sz w:val="21"/>
                <w:szCs w:val="21"/>
                <w:highlight w:val="none"/>
                <w:lang w:val="en-US" w:eastAsia="zh-CN"/>
              </w:rPr>
              <w:t>个日历天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招标范围</w:t>
            </w:r>
          </w:p>
        </w:tc>
        <w:tc>
          <w:tcPr>
            <w:tcW w:w="7997" w:type="dxa"/>
            <w:noWrap w:val="0"/>
            <w:vAlign w:val="center"/>
          </w:tcPr>
          <w:p>
            <w:pPr>
              <w:pStyle w:val="2"/>
              <w:keepNext w:val="0"/>
              <w:keepLines w:val="0"/>
              <w:pageBreakBefore w:val="0"/>
              <w:kinsoku/>
              <w:wordWrap/>
              <w:overflowPunct/>
              <w:topLinePunct w:val="0"/>
              <w:autoSpaceDE/>
              <w:autoSpaceDN/>
              <w:bidi w:val="0"/>
              <w:adjustRightInd/>
              <w:snapToGrid/>
              <w:spacing w:after="0" w:afterLines="0" w:line="400" w:lineRule="exact"/>
              <w:ind w:left="0" w:leftChars="0" w:firstLine="0" w:firstLineChars="0"/>
              <w:textAlignment w:val="auto"/>
              <w:rPr>
                <w:rFonts w:hint="eastAsia" w:ascii="宋体" w:hAnsi="宋体" w:eastAsia="宋体" w:cs="宋体"/>
                <w:color w:val="auto"/>
                <w:sz w:val="21"/>
                <w:szCs w:val="21"/>
                <w:highlight w:val="none"/>
              </w:rPr>
            </w:pPr>
            <w:r>
              <w:rPr>
                <w:rFonts w:hint="eastAsia" w:hAnsi="宋体" w:cs="宋体"/>
                <w:color w:val="auto"/>
                <w:szCs w:val="21"/>
                <w:highlight w:val="none"/>
                <w:lang w:val="en-US" w:eastAsia="zh-CN"/>
              </w:rPr>
              <w:t>图纸及</w:t>
            </w:r>
            <w:r>
              <w:rPr>
                <w:rFonts w:hint="eastAsia" w:ascii="宋体" w:hAnsi="宋体" w:cs="宋体"/>
                <w:color w:val="auto"/>
                <w:szCs w:val="21"/>
                <w:highlight w:val="none"/>
                <w:lang w:val="en-US" w:eastAsia="zh-CN"/>
              </w:rPr>
              <w:t>工程量清单中的所有内容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项目类别</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工程施工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投标人资质要求</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rPr>
              <w:t>投标人</w:t>
            </w:r>
            <w:r>
              <w:rPr>
                <w:rFonts w:hint="eastAsia" w:ascii="宋体" w:hAnsi="宋体" w:cs="宋体"/>
                <w:bCs/>
                <w:color w:val="auto"/>
                <w:kern w:val="0"/>
                <w:szCs w:val="21"/>
                <w:highlight w:val="none"/>
              </w:rPr>
              <w:t>具有独立法人资格且具备承担绿化工程施工相应能力的企业</w:t>
            </w:r>
            <w:r>
              <w:rPr>
                <w:rFonts w:hint="eastAsia" w:ascii="宋体" w:hAnsi="宋体" w:cs="宋体"/>
                <w:bCs/>
                <w:color w:val="auto"/>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snapToGrid w:val="0"/>
                <w:color w:val="auto"/>
                <w:kern w:val="0"/>
                <w:sz w:val="21"/>
                <w:szCs w:val="21"/>
                <w:highlight w:val="none"/>
              </w:rPr>
              <w:t>项目</w:t>
            </w:r>
            <w:r>
              <w:rPr>
                <w:rFonts w:hint="eastAsia" w:ascii="宋体" w:hAnsi="宋体" w:cs="宋体"/>
                <w:bCs/>
                <w:snapToGrid w:val="0"/>
                <w:color w:val="auto"/>
                <w:kern w:val="0"/>
                <w:sz w:val="21"/>
                <w:szCs w:val="21"/>
                <w:highlight w:val="none"/>
                <w:lang w:val="en-US" w:eastAsia="zh-CN"/>
              </w:rPr>
              <w:t>经理</w:t>
            </w:r>
            <w:r>
              <w:rPr>
                <w:rFonts w:hint="eastAsia" w:ascii="宋体" w:hAnsi="宋体" w:eastAsia="宋体" w:cs="宋体"/>
                <w:bCs/>
                <w:snapToGrid w:val="0"/>
                <w:color w:val="auto"/>
                <w:kern w:val="0"/>
                <w:sz w:val="21"/>
                <w:szCs w:val="21"/>
                <w:highlight w:val="none"/>
              </w:rPr>
              <w:t>资格要求</w:t>
            </w:r>
          </w:p>
        </w:tc>
        <w:tc>
          <w:tcPr>
            <w:tcW w:w="799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bCs/>
                <w:color w:val="auto"/>
                <w:kern w:val="0"/>
                <w:sz w:val="21"/>
                <w:szCs w:val="21"/>
                <w:highlight w:val="none"/>
                <w:lang w:eastAsia="zh-CN"/>
              </w:rPr>
              <w:t>具有园林绿化专业中级（</w:t>
            </w:r>
            <w:r>
              <w:rPr>
                <w:rFonts w:hint="eastAsia" w:ascii="宋体" w:hAnsi="宋体" w:eastAsia="宋体" w:cs="宋体"/>
                <w:bCs/>
                <w:color w:val="auto"/>
                <w:kern w:val="0"/>
                <w:sz w:val="21"/>
                <w:szCs w:val="21"/>
                <w:highlight w:val="none"/>
                <w:lang w:val="en-US" w:eastAsia="zh-CN"/>
              </w:rPr>
              <w:t>或以上</w:t>
            </w:r>
            <w:r>
              <w:rPr>
                <w:rFonts w:hint="eastAsia" w:ascii="宋体" w:hAnsi="宋体" w:eastAsia="宋体" w:cs="宋体"/>
                <w:bCs/>
                <w:color w:val="auto"/>
                <w:kern w:val="0"/>
                <w:sz w:val="21"/>
                <w:szCs w:val="21"/>
                <w:highlight w:val="none"/>
                <w:lang w:eastAsia="zh-CN"/>
              </w:rPr>
              <w:t>）职称或具有注册在投标单位的市政公用工程专业</w:t>
            </w:r>
            <w:r>
              <w:rPr>
                <w:rFonts w:hint="eastAsia" w:ascii="宋体" w:hAnsi="宋体" w:eastAsia="宋体" w:cs="宋体"/>
                <w:bCs/>
                <w:color w:val="auto"/>
                <w:kern w:val="0"/>
                <w:sz w:val="21"/>
                <w:szCs w:val="21"/>
                <w:highlight w:val="none"/>
                <w:lang w:val="en-US" w:eastAsia="zh-CN"/>
              </w:rPr>
              <w:t>二</w:t>
            </w:r>
            <w:r>
              <w:rPr>
                <w:rFonts w:hint="eastAsia" w:ascii="宋体" w:hAnsi="宋体" w:eastAsia="宋体" w:cs="宋体"/>
                <w:bCs/>
                <w:color w:val="auto"/>
                <w:kern w:val="0"/>
                <w:sz w:val="21"/>
                <w:szCs w:val="21"/>
                <w:highlight w:val="none"/>
                <w:lang w:eastAsia="zh-CN"/>
              </w:rPr>
              <w:t>级（</w:t>
            </w:r>
            <w:r>
              <w:rPr>
                <w:rFonts w:hint="eastAsia" w:ascii="宋体" w:hAnsi="宋体" w:eastAsia="宋体" w:cs="宋体"/>
                <w:bCs/>
                <w:color w:val="auto"/>
                <w:kern w:val="0"/>
                <w:sz w:val="21"/>
                <w:szCs w:val="21"/>
                <w:highlight w:val="none"/>
                <w:lang w:val="en-US" w:eastAsia="zh-CN"/>
              </w:rPr>
              <w:t>或以上</w:t>
            </w:r>
            <w:r>
              <w:rPr>
                <w:rFonts w:hint="eastAsia" w:ascii="宋体" w:hAnsi="宋体" w:eastAsia="宋体" w:cs="宋体"/>
                <w:bCs/>
                <w:color w:val="auto"/>
                <w:kern w:val="0"/>
                <w:sz w:val="21"/>
                <w:szCs w:val="21"/>
                <w:highlight w:val="none"/>
                <w:lang w:eastAsia="zh-CN"/>
              </w:rPr>
              <w:t>）注册建造师资格</w:t>
            </w:r>
            <w:r>
              <w:rPr>
                <w:rFonts w:hint="eastAsia" w:ascii="宋体" w:hAnsi="宋体" w:cs="宋体"/>
                <w:bCs/>
                <w:color w:val="auto"/>
                <w:kern w:val="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联合体投标</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rPr>
              <w:t>其他要求</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.业绩要求：</w:t>
            </w:r>
            <w:r>
              <w:rPr>
                <w:rFonts w:hint="eastAsia" w:ascii="宋体" w:hAnsi="宋体" w:cs="宋体"/>
                <w:color w:val="auto"/>
                <w:sz w:val="21"/>
                <w:szCs w:val="21"/>
                <w:highlight w:val="none"/>
                <w:lang w:val="en-US" w:eastAsia="zh-CN"/>
              </w:rPr>
              <w:t>投标人</w:t>
            </w:r>
            <w:r>
              <w:rPr>
                <w:rFonts w:hint="eastAsia" w:ascii="宋体" w:hAnsi="宋体" w:eastAsia="宋体" w:cs="宋体"/>
                <w:color w:val="auto"/>
                <w:sz w:val="21"/>
                <w:szCs w:val="21"/>
                <w:highlight w:val="none"/>
                <w:lang w:val="en-US" w:eastAsia="zh-CN"/>
              </w:rPr>
              <w:t>自2019年1月1日以来（以竣工验收时间为准），具备绿化（或园林或景观）工程施工业绩。</w:t>
            </w:r>
            <w:r>
              <w:rPr>
                <w:rFonts w:hint="eastAsia" w:ascii="宋体" w:hAnsi="宋体" w:cs="宋体"/>
                <w:color w:val="auto"/>
                <w:sz w:val="21"/>
                <w:szCs w:val="21"/>
                <w:highlight w:val="none"/>
                <w:lang w:val="en-US" w:eastAsia="zh-CN"/>
              </w:rPr>
              <w:t>【投标</w:t>
            </w:r>
            <w:r>
              <w:rPr>
                <w:rFonts w:hint="eastAsia" w:ascii="宋体" w:hAnsi="宋体" w:eastAsia="宋体" w:cs="宋体"/>
                <w:color w:val="auto"/>
                <w:sz w:val="21"/>
                <w:szCs w:val="21"/>
                <w:highlight w:val="none"/>
                <w:lang w:val="en-US" w:eastAsia="zh-CN"/>
              </w:rPr>
              <w:t>文件中</w:t>
            </w:r>
            <w:r>
              <w:rPr>
                <w:rFonts w:hint="eastAsia" w:ascii="宋体" w:hAnsi="宋体" w:cs="宋体"/>
                <w:color w:val="auto"/>
                <w:sz w:val="21"/>
                <w:szCs w:val="21"/>
                <w:highlight w:val="none"/>
                <w:lang w:val="en-US" w:eastAsia="zh-CN"/>
              </w:rPr>
              <w:t>同时</w:t>
            </w:r>
            <w:r>
              <w:rPr>
                <w:rFonts w:hint="eastAsia" w:ascii="宋体" w:hAnsi="宋体" w:eastAsia="宋体" w:cs="宋体"/>
                <w:color w:val="auto"/>
                <w:sz w:val="21"/>
                <w:szCs w:val="21"/>
                <w:highlight w:val="none"/>
                <w:lang w:val="en-US" w:eastAsia="zh-CN"/>
              </w:rPr>
              <w:t>提供以下证明材料：①合同协议书；②竣工验收证明文件（至少有建设单位、监理单位、施工单位三方参与竣工验收并盖单位章），且竣工验收证明文件须注明竣工验收日期。</w:t>
            </w:r>
            <w:r>
              <w:rPr>
                <w:rFonts w:hint="eastAsia" w:ascii="宋体" w:hAnsi="宋体" w:cs="宋体"/>
                <w:color w:val="auto"/>
                <w:sz w:val="21"/>
                <w:szCs w:val="21"/>
                <w:highlight w:val="none"/>
                <w:lang w:val="en-US" w:eastAsia="zh-CN"/>
              </w:rPr>
              <w:t>】</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.信誉要求：投标人不得存在以下情形：</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①投标人被人民法院列入失信被执行人的；</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②投标人或其法定代表人或拟派项目经理（建造师）前三年有行贿犯罪行为的；</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③投标人被市场监督管理部门列入经营异常名录或者严重违法企业名单，且未被移除的；</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④投标人被税务部门列入重大税收违法案件当事人的；</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⑤在“信用中国”网站上披露仍在公示期的严重失信行为的；</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⑥被滁州市县两级各行业主管部门及公管部门取消在一定期限内的投标资格且在取消期限内的；</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⑦被人力资源社会保障主管部门列入拖欠农民工工资‘黑名单’或因拖欠农民工工资被县级及以上有关行政主管部门限制投标资格且在限制期限内的；</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⑧被列入省级、市级农民工工资支付异常名录的施工企业，限制其参加</w:t>
            </w:r>
            <w:r>
              <w:rPr>
                <w:rFonts w:hint="eastAsia" w:ascii="宋体" w:hAnsi="宋体" w:cs="宋体"/>
                <w:color w:val="auto"/>
                <w:sz w:val="21"/>
                <w:szCs w:val="21"/>
                <w:highlight w:val="none"/>
                <w:lang w:val="en-US" w:eastAsia="zh-CN"/>
              </w:rPr>
              <w:t>本</w:t>
            </w:r>
            <w:r>
              <w:rPr>
                <w:rFonts w:hint="eastAsia" w:ascii="宋体" w:hAnsi="宋体" w:cs="宋体"/>
                <w:color w:val="auto"/>
                <w:sz w:val="21"/>
                <w:szCs w:val="21"/>
                <w:highlight w:val="none"/>
                <w:lang w:eastAsia="zh-CN"/>
              </w:rPr>
              <w:t>项目投标；列入县级异常名录的施工企业，限制其参加</w:t>
            </w:r>
            <w:r>
              <w:rPr>
                <w:rFonts w:hint="eastAsia" w:ascii="宋体" w:hAnsi="宋体" w:cs="宋体"/>
                <w:color w:val="auto"/>
                <w:sz w:val="21"/>
                <w:szCs w:val="21"/>
                <w:highlight w:val="none"/>
                <w:lang w:val="en-US" w:eastAsia="zh-CN"/>
              </w:rPr>
              <w:t>本</w:t>
            </w:r>
            <w:r>
              <w:rPr>
                <w:rFonts w:hint="eastAsia" w:ascii="宋体" w:hAnsi="宋体" w:cs="宋体"/>
                <w:color w:val="auto"/>
                <w:sz w:val="21"/>
                <w:szCs w:val="21"/>
                <w:highlight w:val="none"/>
                <w:lang w:eastAsia="zh-CN"/>
              </w:rPr>
              <w:t>项目投标。</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投标人所属分公司、办事处等分支机构存在第</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eastAsia="zh-CN"/>
              </w:rPr>
              <w:t>条信誉要求①-⑧项情形之一的，</w:t>
            </w:r>
            <w:r>
              <w:rPr>
                <w:rFonts w:hint="eastAsia" w:ascii="宋体" w:hAnsi="宋体" w:cs="宋体"/>
                <w:color w:val="auto"/>
                <w:sz w:val="21"/>
                <w:szCs w:val="21"/>
                <w:highlight w:val="none"/>
                <w:lang w:val="en-US" w:eastAsia="zh-CN"/>
              </w:rPr>
              <w:t>拒绝</w:t>
            </w:r>
            <w:r>
              <w:rPr>
                <w:rFonts w:hint="eastAsia" w:ascii="宋体" w:hAnsi="宋体" w:cs="宋体"/>
                <w:color w:val="auto"/>
                <w:sz w:val="21"/>
                <w:szCs w:val="21"/>
                <w:highlight w:val="none"/>
                <w:lang w:eastAsia="zh-CN"/>
              </w:rPr>
              <w:t>其被确定为中标人。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招标文件的获取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获取时间</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202</w:t>
            </w:r>
            <w:r>
              <w:rPr>
                <w:rFonts w:hint="eastAsia" w:ascii="宋体" w:hAnsi="宋体" w:cs="宋体"/>
                <w:bCs/>
                <w:snapToGrid w:val="0"/>
                <w:color w:val="000000"/>
                <w:kern w:val="0"/>
                <w:szCs w:val="21"/>
                <w:highlight w:val="none"/>
                <w:u w:val="single"/>
                <w:lang w:val="en-US" w:eastAsia="zh-CN"/>
              </w:rPr>
              <w:t>4</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年</w:t>
            </w:r>
            <w:r>
              <w:rPr>
                <w:rFonts w:hint="eastAsia" w:ascii="宋体" w:hAnsi="宋体" w:cs="宋体"/>
                <w:bCs/>
                <w:snapToGrid w:val="0"/>
                <w:color w:val="000000"/>
                <w:kern w:val="0"/>
                <w:szCs w:val="21"/>
                <w:highlight w:val="none"/>
                <w:u w:val="single"/>
                <w:lang w:val="en-US" w:eastAsia="zh-CN"/>
              </w:rPr>
              <w:t>12</w:t>
            </w:r>
            <w:r>
              <w:rPr>
                <w:rFonts w:hint="eastAsia" w:ascii="宋体" w:hAnsi="宋体" w:eastAsia="宋体" w:cs="宋体"/>
                <w:bCs/>
                <w:snapToGrid w:val="0"/>
                <w:color w:val="000000"/>
                <w:kern w:val="0"/>
                <w:szCs w:val="21"/>
                <w:highlight w:val="none"/>
              </w:rPr>
              <w:t>月</w:t>
            </w:r>
            <w:r>
              <w:rPr>
                <w:rFonts w:hint="eastAsia" w:ascii="宋体" w:hAnsi="宋体" w:cs="宋体"/>
                <w:bCs/>
                <w:snapToGrid w:val="0"/>
                <w:color w:val="000000"/>
                <w:kern w:val="0"/>
                <w:szCs w:val="21"/>
                <w:highlight w:val="none"/>
                <w:u w:val="single"/>
                <w:lang w:val="en-US" w:eastAsia="zh-CN"/>
              </w:rPr>
              <w:t xml:space="preserve"> 20 </w:t>
            </w:r>
            <w:r>
              <w:rPr>
                <w:rFonts w:hint="eastAsia" w:ascii="宋体" w:hAnsi="宋体" w:eastAsia="宋体" w:cs="宋体"/>
                <w:bCs/>
                <w:snapToGrid w:val="0"/>
                <w:color w:val="000000"/>
                <w:kern w:val="0"/>
                <w:szCs w:val="21"/>
                <w:highlight w:val="none"/>
              </w:rPr>
              <w:t>日</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17</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时</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00</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分至</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202</w:t>
            </w:r>
            <w:r>
              <w:rPr>
                <w:rFonts w:hint="eastAsia" w:ascii="宋体" w:hAnsi="宋体" w:cs="宋体"/>
                <w:bCs/>
                <w:snapToGrid w:val="0"/>
                <w:color w:val="000000"/>
                <w:kern w:val="0"/>
                <w:szCs w:val="21"/>
                <w:highlight w:val="none"/>
                <w:u w:val="single"/>
                <w:lang w:val="en-US" w:eastAsia="zh-CN"/>
              </w:rPr>
              <w:t>4</w:t>
            </w:r>
            <w:r>
              <w:rPr>
                <w:rFonts w:hint="eastAsia" w:ascii="宋体" w:hAnsi="宋体" w:eastAsia="宋体" w:cs="宋体"/>
                <w:bCs/>
                <w:snapToGrid w:val="0"/>
                <w:color w:val="000000"/>
                <w:kern w:val="0"/>
                <w:szCs w:val="21"/>
                <w:highlight w:val="none"/>
              </w:rPr>
              <w:t>年</w:t>
            </w:r>
            <w:r>
              <w:rPr>
                <w:rFonts w:hint="eastAsia" w:ascii="宋体" w:hAnsi="宋体" w:cs="宋体"/>
                <w:bCs/>
                <w:snapToGrid w:val="0"/>
                <w:color w:val="000000"/>
                <w:kern w:val="0"/>
                <w:szCs w:val="21"/>
                <w:highlight w:val="none"/>
                <w:u w:val="single"/>
                <w:lang w:val="en-US" w:eastAsia="zh-CN"/>
              </w:rPr>
              <w:t xml:space="preserve"> 12 </w:t>
            </w:r>
            <w:r>
              <w:rPr>
                <w:rFonts w:hint="eastAsia" w:ascii="宋体" w:hAnsi="宋体" w:eastAsia="宋体" w:cs="宋体"/>
                <w:bCs/>
                <w:snapToGrid w:val="0"/>
                <w:color w:val="000000"/>
                <w:kern w:val="0"/>
                <w:szCs w:val="21"/>
                <w:highlight w:val="none"/>
              </w:rPr>
              <w:t>月</w:t>
            </w:r>
            <w:r>
              <w:rPr>
                <w:rFonts w:hint="eastAsia" w:ascii="宋体" w:hAnsi="宋体" w:cs="宋体"/>
                <w:bCs/>
                <w:snapToGrid w:val="0"/>
                <w:color w:val="000000"/>
                <w:kern w:val="0"/>
                <w:szCs w:val="21"/>
                <w:highlight w:val="none"/>
                <w:u w:val="single"/>
                <w:lang w:val="en-US" w:eastAsia="zh-CN"/>
              </w:rPr>
              <w:t xml:space="preserve"> 31 </w:t>
            </w:r>
            <w:r>
              <w:rPr>
                <w:rFonts w:hint="eastAsia" w:ascii="宋体" w:hAnsi="宋体" w:eastAsia="宋体" w:cs="宋体"/>
                <w:bCs/>
                <w:snapToGrid w:val="0"/>
                <w:color w:val="000000"/>
                <w:kern w:val="0"/>
                <w:szCs w:val="21"/>
                <w:highlight w:val="none"/>
              </w:rPr>
              <w:t>日</w:t>
            </w:r>
            <w:r>
              <w:rPr>
                <w:rFonts w:hint="eastAsia" w:ascii="宋体" w:hAnsi="宋体" w:eastAsia="宋体" w:cs="宋体"/>
                <w:bCs/>
                <w:snapToGrid w:val="0"/>
                <w:color w:val="000000"/>
                <w:kern w:val="0"/>
                <w:szCs w:val="21"/>
                <w:highlight w:val="none"/>
                <w:u w:val="single"/>
              </w:rPr>
              <w:t xml:space="preserve"> </w:t>
            </w:r>
            <w:r>
              <w:rPr>
                <w:rFonts w:hint="eastAsia" w:ascii="宋体" w:hAnsi="宋体" w:cs="宋体"/>
                <w:bCs/>
                <w:snapToGrid w:val="0"/>
                <w:color w:val="000000"/>
                <w:kern w:val="0"/>
                <w:szCs w:val="21"/>
                <w:highlight w:val="none"/>
                <w:u w:val="single"/>
                <w:lang w:val="en-US" w:eastAsia="zh-CN"/>
              </w:rPr>
              <w:t>9</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时</w:t>
            </w:r>
            <w:r>
              <w:rPr>
                <w:rFonts w:hint="eastAsia" w:ascii="宋体" w:hAnsi="宋体" w:eastAsia="宋体" w:cs="宋体"/>
                <w:bCs/>
                <w:snapToGrid w:val="0"/>
                <w:color w:val="000000"/>
                <w:kern w:val="0"/>
                <w:szCs w:val="21"/>
                <w:highlight w:val="none"/>
                <w:u w:val="single"/>
              </w:rPr>
              <w:t xml:space="preserve"> </w:t>
            </w:r>
            <w:r>
              <w:rPr>
                <w:rFonts w:hint="eastAsia" w:ascii="宋体" w:hAnsi="宋体" w:cs="宋体"/>
                <w:bCs/>
                <w:snapToGrid w:val="0"/>
                <w:color w:val="000000"/>
                <w:kern w:val="0"/>
                <w:szCs w:val="21"/>
                <w:highlight w:val="none"/>
                <w:u w:val="single"/>
                <w:lang w:val="en-US" w:eastAsia="zh-CN"/>
              </w:rPr>
              <w:t>0</w:t>
            </w:r>
            <w:r>
              <w:rPr>
                <w:rFonts w:hint="eastAsia" w:ascii="宋体" w:hAnsi="宋体" w:eastAsia="宋体" w:cs="宋体"/>
                <w:bCs/>
                <w:snapToGrid w:val="0"/>
                <w:color w:val="000000"/>
                <w:kern w:val="0"/>
                <w:szCs w:val="21"/>
                <w:highlight w:val="none"/>
                <w:u w:val="single"/>
                <w:lang w:val="en-US" w:eastAsia="zh-CN"/>
              </w:rPr>
              <w:t>0</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cs="宋体"/>
                <w:color w:val="000000"/>
                <w:kern w:val="0"/>
                <w:szCs w:val="21"/>
              </w:rPr>
              <w:t>获取方式</w:t>
            </w:r>
          </w:p>
        </w:tc>
        <w:tc>
          <w:tcPr>
            <w:tcW w:w="7997" w:type="dxa"/>
            <w:noWrap w:val="0"/>
            <w:vAlign w:val="center"/>
          </w:tcPr>
          <w:p>
            <w:pPr>
              <w:keepNext w:val="0"/>
              <w:keepLines w:val="0"/>
              <w:pageBreakBefore w:val="0"/>
              <w:kinsoku/>
              <w:overflowPunct/>
              <w:topLinePunct w:val="0"/>
              <w:autoSpaceDE/>
              <w:autoSpaceDN/>
              <w:bidi w:val="0"/>
              <w:snapToGrid/>
              <w:spacing w:line="400" w:lineRule="exact"/>
              <w:jc w:val="left"/>
              <w:textAlignment w:val="baseline"/>
              <w:rPr>
                <w:rFonts w:hint="eastAsia" w:ascii="宋体" w:hAnsi="宋体" w:eastAsia="宋体" w:cs="宋体"/>
                <w:color w:val="auto"/>
                <w:sz w:val="21"/>
                <w:szCs w:val="21"/>
                <w:highlight w:val="none"/>
              </w:rPr>
            </w:pPr>
            <w:r>
              <w:rPr>
                <w:rFonts w:hint="eastAsia" w:ascii="宋体" w:hAnsi="宋体" w:cs="宋体"/>
                <w:bCs/>
                <w:snapToGrid w:val="0"/>
                <w:color w:val="000000"/>
                <w:kern w:val="0"/>
                <w:szCs w:val="21"/>
              </w:rPr>
              <w:t>潜在投标人须登录</w:t>
            </w:r>
            <w:r>
              <w:rPr>
                <w:rFonts w:hint="eastAsia" w:ascii="宋体" w:hAnsi="宋体" w:cs="宋体"/>
                <w:color w:val="auto"/>
                <w:szCs w:val="21"/>
                <w:lang w:eastAsia="zh-CN"/>
              </w:rPr>
              <w:t>滁州市滁宁城际铁路开发建设有限公司网站（http://czctgs.cn/）</w:t>
            </w:r>
            <w:r>
              <w:rPr>
                <w:rFonts w:hint="eastAsia" w:ascii="宋体" w:hAnsi="宋体" w:cs="宋体"/>
                <w:bCs/>
                <w:snapToGrid w:val="0"/>
                <w:color w:val="000000"/>
                <w:kern w:val="0"/>
                <w:szCs w:val="21"/>
              </w:rPr>
              <w:t>查阅并下载招标文件</w:t>
            </w:r>
            <w:r>
              <w:rPr>
                <w:rFonts w:hint="eastAsia" w:ascii="宋体" w:hAnsi="宋体" w:cs="宋体"/>
                <w:color w:val="auto"/>
                <w:szCs w:val="21"/>
                <w:lang w:val="en-US" w:eastAsia="zh-CN"/>
              </w:rPr>
              <w:t>及</w:t>
            </w:r>
            <w:r>
              <w:rPr>
                <w:rFonts w:hint="eastAsia" w:ascii="宋体" w:hAnsi="宋体" w:cs="宋体"/>
                <w:color w:val="auto"/>
                <w:szCs w:val="21"/>
              </w:rPr>
              <w:t>相关资料</w:t>
            </w:r>
            <w:r>
              <w:rPr>
                <w:rFonts w:hint="eastAsia" w:ascii="宋体" w:hAnsi="宋体" w:cs="宋体"/>
                <w:bCs/>
                <w:snapToGrid w:val="0"/>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招标公告发布时间</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Cs w:val="21"/>
                <w:highlight w:val="none"/>
              </w:rPr>
              <w:t>20</w:t>
            </w:r>
            <w:r>
              <w:rPr>
                <w:rFonts w:hint="eastAsia" w:ascii="宋体" w:hAnsi="宋体" w:eastAsia="宋体" w:cs="宋体"/>
                <w:color w:val="auto"/>
                <w:szCs w:val="21"/>
                <w:highlight w:val="none"/>
                <w:lang w:val="en-US" w:eastAsia="zh-CN"/>
              </w:rPr>
              <w:t>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rPr>
              <w:t>月</w:t>
            </w:r>
            <w:r>
              <w:rPr>
                <w:rFonts w:hint="eastAsia" w:ascii="宋体" w:hAnsi="宋体" w:cs="宋体"/>
                <w:color w:val="auto"/>
                <w:szCs w:val="21"/>
                <w:highlight w:val="none"/>
                <w:lang w:val="en-US" w:eastAsia="zh-CN"/>
              </w:rPr>
              <w:t>20</w:t>
            </w:r>
            <w:r>
              <w:rPr>
                <w:rFonts w:hint="eastAsia" w:ascii="宋体" w:hAnsi="宋体" w:eastAsia="宋体" w:cs="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投标文件递交的截止时间</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lang w:val="en-US" w:eastAsia="zh-CN"/>
              </w:rPr>
              <w:t>月</w:t>
            </w:r>
            <w:r>
              <w:rPr>
                <w:rFonts w:hint="eastAsia" w:ascii="宋体" w:hAnsi="宋体" w:cs="宋体"/>
                <w:color w:val="auto"/>
                <w:szCs w:val="21"/>
                <w:highlight w:val="none"/>
                <w:lang w:val="en-US" w:eastAsia="zh-CN"/>
              </w:rPr>
              <w:t>31</w:t>
            </w:r>
            <w:r>
              <w:rPr>
                <w:rFonts w:hint="eastAsia" w:ascii="宋体" w:hAnsi="宋体" w:eastAsia="宋体" w:cs="宋体"/>
                <w:color w:val="auto"/>
                <w:szCs w:val="21"/>
                <w:highlight w:val="none"/>
                <w:lang w:val="en-US" w:eastAsia="zh-CN"/>
              </w:rPr>
              <w:t>日</w:t>
            </w:r>
            <w:r>
              <w:rPr>
                <w:rFonts w:hint="eastAsia" w:ascii="宋体" w:hAnsi="宋体" w:cs="宋体"/>
                <w:color w:val="auto"/>
                <w:szCs w:val="21"/>
                <w:highlight w:val="none"/>
                <w:lang w:val="en-US" w:eastAsia="zh-CN"/>
              </w:rPr>
              <w:t>9</w:t>
            </w:r>
            <w:r>
              <w:rPr>
                <w:rFonts w:hint="eastAsia" w:ascii="宋体" w:hAnsi="宋体" w:eastAsia="宋体" w:cs="宋体"/>
                <w:color w:val="auto"/>
                <w:szCs w:val="21"/>
                <w:highlight w:val="none"/>
                <w:lang w:val="en-US" w:eastAsia="zh-CN"/>
              </w:rPr>
              <w:t>时</w:t>
            </w:r>
            <w:r>
              <w:rPr>
                <w:rFonts w:hint="eastAsia" w:ascii="宋体" w:hAnsi="宋体" w:cs="宋体"/>
                <w:color w:val="auto"/>
                <w:szCs w:val="21"/>
                <w:highlight w:val="none"/>
                <w:lang w:val="en-US" w:eastAsia="zh-CN"/>
              </w:rPr>
              <w:t>0</w:t>
            </w:r>
            <w:r>
              <w:rPr>
                <w:rFonts w:hint="eastAsia" w:ascii="宋体" w:hAnsi="宋体" w:eastAsia="宋体" w:cs="宋体"/>
                <w:color w:val="auto"/>
                <w:szCs w:val="21"/>
                <w:highlight w:val="none"/>
                <w:lang w:val="en-US" w:eastAsia="zh-CN"/>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cs="宋体"/>
                <w:color w:val="auto"/>
                <w:szCs w:val="21"/>
              </w:rPr>
              <w:t>投标文件递交的方式</w:t>
            </w:r>
          </w:p>
        </w:tc>
        <w:tc>
          <w:tcPr>
            <w:tcW w:w="7997" w:type="dxa"/>
            <w:noWrap w:val="0"/>
            <w:vAlign w:val="center"/>
          </w:tcPr>
          <w:p>
            <w:pPr>
              <w:keepNext w:val="0"/>
              <w:keepLines w:val="0"/>
              <w:pageBreakBefore w:val="0"/>
              <w:kinsoku/>
              <w:overflowPunct/>
              <w:topLinePunct w:val="0"/>
              <w:autoSpaceDE/>
              <w:autoSpaceDN/>
              <w:bidi w:val="0"/>
              <w:snapToGrid/>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网上递交，发送至电子邮箱：</w:t>
            </w:r>
            <w:r>
              <w:rPr>
                <w:rFonts w:hint="eastAsia" w:ascii="宋体" w:hAnsi="宋体" w:cs="宋体"/>
                <w:color w:val="auto"/>
                <w:szCs w:val="21"/>
                <w:highlight w:val="none"/>
                <w:lang w:val="en-US" w:eastAsia="zh-CN"/>
              </w:rPr>
              <w:t>czsctzx@163.com</w:t>
            </w:r>
            <w:r>
              <w:rPr>
                <w:rFonts w:hint="eastAsia" w:ascii="宋体" w:hAnsi="宋体" w:eastAsia="宋体" w:cs="宋体"/>
                <w:color w:val="auto"/>
                <w:szCs w:val="21"/>
                <w:highlight w:val="none"/>
                <w:lang w:val="en-US" w:eastAsia="zh-CN"/>
              </w:rPr>
              <w:t>（滁州市城投工程咨询管理有限公司邮箱）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开标时间</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Cs w:val="21"/>
                <w:highlight w:val="none"/>
                <w:lang w:val="en-US" w:eastAsia="zh-CN"/>
              </w:rPr>
              <w:t>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lang w:val="en-US" w:eastAsia="zh-CN"/>
              </w:rPr>
              <w:t>月</w:t>
            </w:r>
            <w:r>
              <w:rPr>
                <w:rFonts w:hint="eastAsia" w:ascii="宋体" w:hAnsi="宋体" w:cs="宋体"/>
                <w:color w:val="auto"/>
                <w:szCs w:val="21"/>
                <w:highlight w:val="none"/>
                <w:lang w:val="en-US" w:eastAsia="zh-CN"/>
              </w:rPr>
              <w:t>31</w:t>
            </w:r>
            <w:r>
              <w:rPr>
                <w:rFonts w:hint="eastAsia" w:ascii="宋体" w:hAnsi="宋体" w:eastAsia="宋体" w:cs="宋体"/>
                <w:color w:val="auto"/>
                <w:szCs w:val="21"/>
                <w:highlight w:val="none"/>
                <w:lang w:val="en-US" w:eastAsia="zh-CN"/>
              </w:rPr>
              <w:t>日</w:t>
            </w:r>
            <w:r>
              <w:rPr>
                <w:rFonts w:hint="eastAsia" w:ascii="宋体" w:hAnsi="宋体" w:cs="宋体"/>
                <w:color w:val="auto"/>
                <w:szCs w:val="21"/>
                <w:highlight w:val="none"/>
                <w:lang w:val="en-US" w:eastAsia="zh-CN"/>
              </w:rPr>
              <w:t>9</w:t>
            </w:r>
            <w:r>
              <w:rPr>
                <w:rFonts w:hint="eastAsia" w:ascii="宋体" w:hAnsi="宋体" w:eastAsia="宋体" w:cs="宋体"/>
                <w:color w:val="auto"/>
                <w:szCs w:val="21"/>
                <w:highlight w:val="none"/>
                <w:lang w:val="en-US" w:eastAsia="zh-CN"/>
              </w:rPr>
              <w:t>时</w:t>
            </w:r>
            <w:r>
              <w:rPr>
                <w:rFonts w:hint="eastAsia" w:ascii="宋体" w:hAnsi="宋体" w:cs="宋体"/>
                <w:color w:val="auto"/>
                <w:szCs w:val="21"/>
                <w:highlight w:val="none"/>
                <w:lang w:val="en-US" w:eastAsia="zh-CN"/>
              </w:rPr>
              <w:t>0</w:t>
            </w:r>
            <w:r>
              <w:rPr>
                <w:rFonts w:hint="eastAsia" w:ascii="宋体" w:hAnsi="宋体" w:eastAsia="宋体" w:cs="宋体"/>
                <w:color w:val="auto"/>
                <w:szCs w:val="21"/>
                <w:highlight w:val="none"/>
                <w:lang w:val="en-US" w:eastAsia="zh-CN"/>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开标地点</w:t>
            </w:r>
          </w:p>
        </w:tc>
        <w:tc>
          <w:tcPr>
            <w:tcW w:w="7997" w:type="dxa"/>
            <w:noWrap w:val="0"/>
            <w:vAlign w:val="center"/>
          </w:tcPr>
          <w:p>
            <w:pPr>
              <w:keepNext w:val="0"/>
              <w:keepLines w:val="0"/>
              <w:pageBreakBefore w:val="0"/>
              <w:kinsoku/>
              <w:overflowPunct/>
              <w:topLinePunct w:val="0"/>
              <w:autoSpaceDE/>
              <w:autoSpaceDN/>
              <w:bidi w:val="0"/>
              <w:snapToGrid/>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滁州市滁宁城际铁路开发建设有限公司七楼会议室 (滁州市徽州路与扬子路交叉口东南侧)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招标文件价格</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发布公告的媒介</w:t>
            </w:r>
          </w:p>
        </w:tc>
        <w:tc>
          <w:tcPr>
            <w:tcW w:w="799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kern w:val="2"/>
                <w:sz w:val="21"/>
                <w:szCs w:val="21"/>
                <w:highlight w:val="none"/>
                <w:lang w:val="en-US" w:eastAsia="zh-CN" w:bidi="ar"/>
              </w:rPr>
              <w:t>滁州市滁宁城际铁路开发建设有限公司网站（http://czctgs.cn/）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投标保证金收取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保证金收取</w:t>
            </w:r>
          </w:p>
        </w:tc>
        <w:tc>
          <w:tcPr>
            <w:tcW w:w="799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pPr>
              <w:keepNext w:val="0"/>
              <w:keepLines w:val="0"/>
              <w:pageBreakBefore w:val="0"/>
              <w:kinsoku/>
              <w:overflowPunct/>
              <w:topLinePunct w:val="0"/>
              <w:autoSpaceDE/>
              <w:autoSpaceDN/>
              <w:bidi w:val="0"/>
              <w:snapToGrid/>
              <w:spacing w:line="400" w:lineRule="exact"/>
              <w:jc w:val="center"/>
              <w:rPr>
                <w:rFonts w:hint="default" w:ascii="宋体" w:hAnsi="宋体" w:eastAsia="宋体" w:cs="宋体"/>
                <w:szCs w:val="21"/>
                <w:highlight w:val="none"/>
                <w:lang w:val="en-US" w:eastAsia="zh-CN"/>
              </w:rPr>
            </w:pPr>
            <w:r>
              <w:rPr>
                <w:rFonts w:hint="eastAsia" w:ascii="宋体" w:hAnsi="宋体" w:eastAsia="宋体" w:cs="宋体"/>
                <w:b/>
                <w:color w:val="auto"/>
                <w:kern w:val="0"/>
                <w:sz w:val="21"/>
                <w:szCs w:val="21"/>
                <w:highlight w:val="none"/>
                <w:lang w:val="en-US" w:eastAsia="zh-CN"/>
              </w:rPr>
              <w:t>特别提示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pPr>
              <w:keepNext w:val="0"/>
              <w:keepLines w:val="0"/>
              <w:pageBreakBefore w:val="0"/>
              <w:numPr>
                <w:ilvl w:val="0"/>
                <w:numId w:val="1"/>
              </w:numPr>
              <w:kinsoku/>
              <w:overflowPunct/>
              <w:topLinePunct w:val="0"/>
              <w:autoSpaceDE/>
              <w:autoSpaceDN/>
              <w:bidi w:val="0"/>
              <w:snapToGrid/>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施工场地及周边场地、道路、绿化等，若被施工方损坏，施工方必须无偿按照原貌恢复。</w:t>
            </w:r>
          </w:p>
          <w:p>
            <w:pPr>
              <w:keepNext w:val="0"/>
              <w:keepLines w:val="0"/>
              <w:pageBreakBefore w:val="0"/>
              <w:numPr>
                <w:ilvl w:val="0"/>
                <w:numId w:val="1"/>
              </w:numPr>
              <w:kinsoku/>
              <w:overflowPunct/>
              <w:topLinePunct w:val="0"/>
              <w:autoSpaceDE/>
              <w:autoSpaceDN/>
              <w:bidi w:val="0"/>
              <w:snapToGrid/>
              <w:spacing w:line="400" w:lineRule="exact"/>
              <w:jc w:val="left"/>
              <w:rPr>
                <w:rFonts w:hint="eastAsia" w:ascii="宋体" w:hAnsi="宋体" w:eastAsia="宋体" w:cs="宋体"/>
                <w:color w:val="auto"/>
                <w:szCs w:val="21"/>
                <w:highlight w:val="green"/>
              </w:rPr>
            </w:pPr>
            <w:r>
              <w:rPr>
                <w:rFonts w:hint="eastAsia" w:ascii="宋体" w:hAnsi="宋体" w:eastAsia="宋体" w:cs="宋体"/>
                <w:b/>
                <w:bCs/>
                <w:color w:val="auto"/>
                <w:szCs w:val="21"/>
                <w:highlight w:val="none"/>
              </w:rPr>
              <w:t>投标人需自行前往项目现场进行实地勘察。现场存在部分菜园区域，在后续施工过程中，投标人应自行与菜园所有者或相关方进行协商处理涉及相关问题。</w:t>
            </w:r>
            <w:r>
              <w:rPr>
                <w:rFonts w:hint="eastAsia" w:ascii="宋体" w:hAnsi="宋体" w:cs="宋体"/>
                <w:b/>
                <w:bCs/>
                <w:color w:val="auto"/>
                <w:szCs w:val="21"/>
                <w:highlight w:val="none"/>
                <w:lang w:val="en-US" w:eastAsia="zh-CN"/>
              </w:rPr>
              <w:t>涉及</w:t>
            </w:r>
            <w:r>
              <w:rPr>
                <w:rFonts w:hint="eastAsia" w:ascii="宋体" w:hAnsi="宋体" w:eastAsia="宋体" w:cs="宋体"/>
                <w:b/>
                <w:bCs/>
                <w:color w:val="auto"/>
                <w:szCs w:val="21"/>
                <w:highlight w:val="none"/>
              </w:rPr>
              <w:t>补偿费用</w:t>
            </w:r>
            <w:r>
              <w:rPr>
                <w:rFonts w:hint="eastAsia" w:ascii="宋体" w:hAnsi="宋体" w:cs="宋体"/>
                <w:b/>
                <w:bCs/>
                <w:color w:val="auto"/>
                <w:szCs w:val="21"/>
                <w:highlight w:val="none"/>
                <w:lang w:val="en-US" w:eastAsia="zh-CN"/>
              </w:rPr>
              <w:t>的</w:t>
            </w:r>
            <w:r>
              <w:rPr>
                <w:rFonts w:hint="eastAsia" w:ascii="宋体" w:hAnsi="宋体" w:eastAsia="宋体" w:cs="宋体"/>
                <w:b/>
                <w:bCs/>
                <w:color w:val="auto"/>
                <w:szCs w:val="21"/>
                <w:highlight w:val="none"/>
              </w:rPr>
              <w:t>支付，</w:t>
            </w:r>
            <w:r>
              <w:rPr>
                <w:rFonts w:hint="eastAsia" w:ascii="宋体" w:hAnsi="宋体" w:cs="宋体"/>
                <w:b/>
                <w:bCs/>
                <w:color w:val="auto"/>
                <w:szCs w:val="21"/>
                <w:highlight w:val="none"/>
                <w:lang w:val="en-US" w:eastAsia="zh-CN"/>
              </w:rPr>
              <w:t>全部</w:t>
            </w:r>
            <w:r>
              <w:rPr>
                <w:rFonts w:hint="eastAsia" w:ascii="宋体" w:hAnsi="宋体" w:eastAsia="宋体" w:cs="宋体"/>
                <w:b/>
                <w:bCs/>
                <w:color w:val="auto"/>
                <w:szCs w:val="21"/>
                <w:highlight w:val="none"/>
              </w:rPr>
              <w:t>由投标人自行承担。因</w:t>
            </w:r>
            <w:r>
              <w:rPr>
                <w:rFonts w:hint="eastAsia" w:ascii="宋体" w:hAnsi="宋体" w:eastAsia="宋体" w:cs="宋体"/>
                <w:b/>
                <w:bCs/>
                <w:color w:val="auto"/>
                <w:szCs w:val="21"/>
                <w:highlight w:val="none"/>
                <w:lang w:val="en-US" w:eastAsia="zh-CN"/>
              </w:rPr>
              <w:t>投标人</w:t>
            </w:r>
            <w:r>
              <w:rPr>
                <w:rFonts w:hint="eastAsia" w:ascii="宋体" w:hAnsi="宋体" w:eastAsia="宋体" w:cs="宋体"/>
                <w:b/>
                <w:bCs/>
                <w:color w:val="auto"/>
                <w:szCs w:val="21"/>
                <w:highlight w:val="none"/>
              </w:rPr>
              <w:t>未勘察现场而造成的损失由</w:t>
            </w:r>
            <w:r>
              <w:rPr>
                <w:rFonts w:hint="eastAsia" w:ascii="宋体" w:hAnsi="宋体" w:eastAsia="宋体" w:cs="宋体"/>
                <w:b/>
                <w:bCs/>
                <w:color w:val="auto"/>
                <w:szCs w:val="21"/>
                <w:highlight w:val="none"/>
                <w:lang w:val="en-US" w:eastAsia="zh-CN"/>
              </w:rPr>
              <w:t>投标人自行</w:t>
            </w:r>
            <w:r>
              <w:rPr>
                <w:rFonts w:hint="eastAsia" w:ascii="宋体" w:hAnsi="宋体" w:eastAsia="宋体" w:cs="宋体"/>
                <w:b/>
                <w:bCs/>
                <w:color w:val="auto"/>
                <w:szCs w:val="21"/>
                <w:highlight w:val="none"/>
              </w:rPr>
              <w:t>承担。</w:t>
            </w:r>
          </w:p>
          <w:p>
            <w:pPr>
              <w:keepNext w:val="0"/>
              <w:keepLines w:val="0"/>
              <w:pageBreakBefore w:val="0"/>
              <w:numPr>
                <w:ilvl w:val="0"/>
                <w:numId w:val="1"/>
              </w:numPr>
              <w:kinsoku/>
              <w:overflowPunct/>
              <w:topLinePunct w:val="0"/>
              <w:autoSpaceDE/>
              <w:autoSpaceDN/>
              <w:bidi w:val="0"/>
              <w:snapToGrid/>
              <w:spacing w:line="400" w:lineRule="exact"/>
              <w:jc w:val="left"/>
              <w:rPr>
                <w:rFonts w:hint="default" w:eastAsia="宋体"/>
                <w:highlight w:val="none"/>
                <w:lang w:val="en-US" w:eastAsia="zh-CN"/>
              </w:rPr>
            </w:pPr>
            <w:r>
              <w:rPr>
                <w:rFonts w:hint="eastAsia" w:ascii="宋体" w:hAnsi="宋体" w:eastAsia="宋体" w:cs="宋体"/>
                <w:color w:val="auto"/>
                <w:szCs w:val="21"/>
                <w:highlight w:val="none"/>
                <w:lang w:val="en-US" w:eastAsia="zh-CN"/>
              </w:rPr>
              <w:t>中标人在合同履行期内与各方</w:t>
            </w:r>
            <w:r>
              <w:rPr>
                <w:rFonts w:hint="eastAsia" w:ascii="宋体" w:hAnsi="宋体" w:eastAsia="宋体" w:cs="宋体"/>
                <w:color w:val="auto"/>
                <w:szCs w:val="21"/>
                <w:highlight w:val="none"/>
              </w:rPr>
              <w:t>发生</w:t>
            </w:r>
            <w:r>
              <w:rPr>
                <w:rFonts w:hint="eastAsia" w:ascii="宋体" w:hAnsi="宋体" w:eastAsia="宋体" w:cs="宋体"/>
                <w:color w:val="auto"/>
                <w:szCs w:val="21"/>
                <w:highlight w:val="none"/>
                <w:lang w:val="en-US" w:eastAsia="zh-CN"/>
              </w:rPr>
              <w:t>各种</w:t>
            </w:r>
            <w:r>
              <w:rPr>
                <w:rFonts w:hint="eastAsia" w:ascii="宋体" w:hAnsi="宋体" w:eastAsia="宋体" w:cs="宋体"/>
                <w:color w:val="auto"/>
                <w:szCs w:val="21"/>
                <w:highlight w:val="none"/>
              </w:rPr>
              <w:t>矛盾、纠纷时，</w:t>
            </w:r>
            <w:r>
              <w:rPr>
                <w:rFonts w:hint="eastAsia" w:ascii="宋体" w:hAnsi="宋体" w:eastAsia="宋体" w:cs="宋体"/>
                <w:color w:val="auto"/>
                <w:szCs w:val="21"/>
                <w:highlight w:val="none"/>
                <w:lang w:val="en-US" w:eastAsia="zh-CN"/>
              </w:rPr>
              <w:t>由中标人自主解决。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招标人名称</w:t>
            </w:r>
          </w:p>
        </w:tc>
        <w:tc>
          <w:tcPr>
            <w:tcW w:w="7997" w:type="dxa"/>
            <w:noWrap w:val="0"/>
            <w:vAlign w:val="center"/>
          </w:tcPr>
          <w:p>
            <w:pPr>
              <w:keepNext w:val="0"/>
              <w:keepLines w:val="0"/>
              <w:pageBreakBefore w:val="0"/>
              <w:widowControl/>
              <w:shd w:val="clear" w:color="auto" w:fill="auto"/>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eastAsia="zh-CN"/>
              </w:rPr>
              <w:t>滁州市滁宁城际铁路开发建设有限公司</w:t>
            </w:r>
            <w:r>
              <w:rPr>
                <w:rFonts w:hint="eastAsia" w:ascii="宋体" w:hAnsi="宋体" w:eastAsia="宋体" w:cs="宋体"/>
                <w:color w:val="auto"/>
                <w:kern w:val="0"/>
                <w:sz w:val="21"/>
                <w:szCs w:val="21"/>
                <w:highlight w:val="non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招标人地址</w:t>
            </w:r>
          </w:p>
        </w:tc>
        <w:tc>
          <w:tcPr>
            <w:tcW w:w="7997" w:type="dxa"/>
            <w:noWrap w:val="0"/>
            <w:vAlign w:val="center"/>
          </w:tcPr>
          <w:p>
            <w:pPr>
              <w:keepNext w:val="0"/>
              <w:keepLines w:val="0"/>
              <w:pageBreakBefore w:val="0"/>
              <w:widowControl/>
              <w:shd w:val="clear" w:color="auto" w:fill="auto"/>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滁州市徽州路与扬子路交叉口东南侧7楼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招标人联系人</w:t>
            </w:r>
          </w:p>
        </w:tc>
        <w:tc>
          <w:tcPr>
            <w:tcW w:w="7997" w:type="dxa"/>
            <w:noWrap w:val="0"/>
            <w:vAlign w:val="center"/>
          </w:tcPr>
          <w:p>
            <w:pPr>
              <w:keepNext w:val="0"/>
              <w:keepLines w:val="0"/>
              <w:pageBreakBefore w:val="0"/>
              <w:widowControl/>
              <w:shd w:val="clear" w:color="auto" w:fill="auto"/>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陈俊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招标人电话</w:t>
            </w:r>
          </w:p>
        </w:tc>
        <w:tc>
          <w:tcPr>
            <w:tcW w:w="7997" w:type="dxa"/>
            <w:noWrap w:val="0"/>
            <w:vAlign w:val="center"/>
          </w:tcPr>
          <w:p>
            <w:pPr>
              <w:keepNext w:val="0"/>
              <w:keepLines w:val="0"/>
              <w:pageBreakBefore w:val="0"/>
              <w:widowControl/>
              <w:shd w:val="clear" w:color="auto" w:fill="auto"/>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sz w:val="21"/>
                <w:szCs w:val="21"/>
                <w:highlight w:val="none"/>
                <w:lang w:eastAsia="zh-CN"/>
              </w:rPr>
              <w:t>18949108929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招标代理机构名称</w:t>
            </w:r>
          </w:p>
        </w:tc>
        <w:tc>
          <w:tcPr>
            <w:tcW w:w="7997" w:type="dxa"/>
            <w:noWrap w:val="0"/>
            <w:vAlign w:val="center"/>
          </w:tcPr>
          <w:p>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rPr>
              <w:t>滁州市城投工程咨询管理有限公司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招标代理机构地址</w:t>
            </w:r>
          </w:p>
        </w:tc>
        <w:tc>
          <w:tcPr>
            <w:tcW w:w="7997" w:type="dxa"/>
            <w:noWrap w:val="0"/>
            <w:vAlign w:val="center"/>
          </w:tcPr>
          <w:p>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滁州市龙蟠大道109号房产大厦6楼</w:t>
            </w:r>
            <w:r>
              <w:rPr>
                <w:rFonts w:hint="eastAsia" w:ascii="宋体" w:hAnsi="宋体" w:eastAsia="宋体" w:cs="宋体"/>
                <w:color w:val="auto"/>
                <w:sz w:val="21"/>
                <w:szCs w:val="21"/>
                <w:highlight w:val="none"/>
                <w:lang w:val="en-US" w:eastAsia="zh-CN"/>
              </w:rPr>
              <w:t>605室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招标代理机构    联系人</w:t>
            </w:r>
          </w:p>
        </w:tc>
        <w:tc>
          <w:tcPr>
            <w:tcW w:w="7997" w:type="dxa"/>
            <w:noWrap w:val="0"/>
            <w:vAlign w:val="center"/>
          </w:tcPr>
          <w:p>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周蓓蕾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代理机构电话</w:t>
            </w:r>
          </w:p>
        </w:tc>
        <w:tc>
          <w:tcPr>
            <w:tcW w:w="7997" w:type="dxa"/>
            <w:noWrap w:val="0"/>
            <w:vAlign w:val="center"/>
          </w:tcPr>
          <w:p>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lang w:eastAsia="zh-CN"/>
              </w:rPr>
              <w:t>0550-3519519</w:t>
            </w:r>
            <w:r>
              <w:rPr>
                <w:rFonts w:hint="eastAsia" w:ascii="宋体" w:hAnsi="宋体" w:eastAsia="宋体" w:cs="宋体"/>
                <w:color w:val="auto"/>
                <w:sz w:val="21"/>
                <w:szCs w:val="21"/>
                <w:highlight w:val="none"/>
                <w:lang w:val="en-US" w:eastAsia="zh-CN"/>
              </w:rPr>
              <w:t>、18005505728</w:t>
            </w:r>
          </w:p>
        </w:tc>
      </w:tr>
    </w:tbl>
    <w:p>
      <w:pPr>
        <w:pStyle w:val="43"/>
        <w:spacing w:beforeLines="50" w:afterLines="50" w:line="440" w:lineRule="exact"/>
        <w:rPr>
          <w:bCs/>
          <w:szCs w:val="32"/>
          <w:highlight w:val="none"/>
        </w:rPr>
      </w:pPr>
      <w:bookmarkStart w:id="31" w:name="_Toc78803321"/>
      <w:r>
        <w:rPr>
          <w:rFonts w:hint="eastAsia"/>
          <w:bCs/>
          <w:szCs w:val="32"/>
          <w:highlight w:val="none"/>
        </w:rPr>
        <w:br w:type="page"/>
      </w:r>
      <w:r>
        <w:rPr>
          <w:rFonts w:hint="eastAsia"/>
          <w:bCs/>
          <w:szCs w:val="32"/>
          <w:highlight w:val="none"/>
        </w:rPr>
        <w:t>第一章  投标人须知</w:t>
      </w:r>
      <w:bookmarkEnd w:id="19"/>
      <w:bookmarkEnd w:id="20"/>
      <w:bookmarkEnd w:id="21"/>
      <w:bookmarkEnd w:id="22"/>
      <w:bookmarkEnd w:id="23"/>
      <w:bookmarkEnd w:id="24"/>
      <w:bookmarkEnd w:id="25"/>
      <w:bookmarkEnd w:id="26"/>
      <w:bookmarkEnd w:id="27"/>
      <w:bookmarkEnd w:id="28"/>
      <w:bookmarkEnd w:id="29"/>
      <w:bookmarkEnd w:id="30"/>
      <w:bookmarkEnd w:id="31"/>
    </w:p>
    <w:p>
      <w:pPr>
        <w:spacing w:beforeLines="50" w:afterLines="50" w:line="440" w:lineRule="exact"/>
        <w:jc w:val="center"/>
        <w:rPr>
          <w:b/>
          <w:bCs/>
          <w:sz w:val="28"/>
          <w:szCs w:val="28"/>
          <w:highlight w:val="none"/>
        </w:rPr>
      </w:pPr>
      <w:bookmarkStart w:id="32" w:name="_Toc35425051"/>
      <w:bookmarkStart w:id="33" w:name="_Toc35424884"/>
      <w:bookmarkStart w:id="34" w:name="_Toc247085688"/>
      <w:bookmarkStart w:id="35" w:name="_Toc246996174"/>
      <w:bookmarkStart w:id="36" w:name="_Toc152042304"/>
      <w:bookmarkStart w:id="37" w:name="_Toc144974496"/>
      <w:bookmarkStart w:id="38" w:name="_Toc15058845"/>
      <w:bookmarkStart w:id="39" w:name="_Toc246996917"/>
      <w:bookmarkStart w:id="40" w:name="_Toc324404814"/>
      <w:bookmarkStart w:id="41" w:name="_Toc179632545"/>
      <w:bookmarkStart w:id="42" w:name="_Toc152045528"/>
      <w:bookmarkStart w:id="43" w:name="_Toc506107268"/>
      <w:r>
        <w:rPr>
          <w:rFonts w:hint="eastAsia"/>
          <w:b/>
          <w:bCs/>
          <w:sz w:val="28"/>
          <w:szCs w:val="28"/>
          <w:highlight w:val="none"/>
        </w:rPr>
        <w:t>投标人须知前附表</w:t>
      </w:r>
      <w:bookmarkEnd w:id="32"/>
      <w:bookmarkEnd w:id="33"/>
      <w:bookmarkEnd w:id="34"/>
      <w:bookmarkEnd w:id="35"/>
      <w:bookmarkEnd w:id="36"/>
      <w:bookmarkEnd w:id="37"/>
      <w:bookmarkEnd w:id="38"/>
      <w:bookmarkEnd w:id="39"/>
      <w:bookmarkEnd w:id="40"/>
      <w:bookmarkEnd w:id="41"/>
      <w:bookmarkEnd w:id="42"/>
      <w:bookmarkEnd w:id="43"/>
    </w:p>
    <w:tbl>
      <w:tblPr>
        <w:tblStyle w:val="46"/>
        <w:tblW w:w="10328" w:type="dxa"/>
        <w:jc w:val="center"/>
        <w:tblLayout w:type="fixed"/>
        <w:tblCellMar>
          <w:top w:w="0" w:type="dxa"/>
          <w:left w:w="108" w:type="dxa"/>
          <w:bottom w:w="0" w:type="dxa"/>
          <w:right w:w="108" w:type="dxa"/>
        </w:tblCellMar>
      </w:tblPr>
      <w:tblGrid>
        <w:gridCol w:w="868"/>
        <w:gridCol w:w="910"/>
        <w:gridCol w:w="1299"/>
        <w:gridCol w:w="7251"/>
      </w:tblGrid>
      <w:tr>
        <w:tblPrEx>
          <w:tblCellMar>
            <w:top w:w="0" w:type="dxa"/>
            <w:left w:w="108" w:type="dxa"/>
            <w:bottom w:w="0" w:type="dxa"/>
            <w:right w:w="108" w:type="dxa"/>
          </w:tblCellMar>
        </w:tblPrEx>
        <w:trPr>
          <w:trHeight w:val="52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b/>
                <w:szCs w:val="21"/>
                <w:highlight w:val="none"/>
              </w:rPr>
            </w:pPr>
            <w:bookmarkStart w:id="44" w:name="_Toc506107269"/>
            <w:bookmarkStart w:id="45" w:name="_Toc179632546"/>
            <w:bookmarkStart w:id="46" w:name="_Toc324404815"/>
            <w:bookmarkStart w:id="47" w:name="_Toc152045529"/>
            <w:bookmarkStart w:id="48" w:name="_Toc246996175"/>
            <w:bookmarkStart w:id="49" w:name="_Toc144974497"/>
            <w:bookmarkStart w:id="50" w:name="_Toc152042305"/>
            <w:bookmarkStart w:id="51" w:name="_Toc246996918"/>
            <w:bookmarkStart w:id="52" w:name="_Toc247085689"/>
            <w:r>
              <w:rPr>
                <w:rFonts w:hint="eastAsia" w:ascii="宋体" w:hAnsi="宋体" w:cs="宋体"/>
                <w:b/>
                <w:szCs w:val="21"/>
                <w:highlight w:val="none"/>
              </w:rPr>
              <w:t>序号</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b/>
                <w:szCs w:val="21"/>
                <w:highlight w:val="none"/>
              </w:rPr>
            </w:pPr>
            <w:r>
              <w:rPr>
                <w:rFonts w:hint="eastAsia" w:ascii="宋体" w:hAnsi="宋体" w:cs="宋体"/>
                <w:b/>
                <w:szCs w:val="21"/>
                <w:highlight w:val="none"/>
              </w:rPr>
              <w:t>条  款  名  称</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b/>
                <w:szCs w:val="21"/>
                <w:highlight w:val="none"/>
              </w:rPr>
            </w:pPr>
            <w:r>
              <w:rPr>
                <w:rFonts w:hint="eastAsia" w:ascii="宋体" w:hAnsi="宋体" w:cs="宋体"/>
                <w:b/>
                <w:szCs w:val="21"/>
                <w:highlight w:val="none"/>
              </w:rPr>
              <w:t>编  列  内  容</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1</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招标人</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jc w:val="left"/>
              <w:textAlignment w:val="auto"/>
              <w:rPr>
                <w:rFonts w:hint="eastAsia" w:eastAsia="宋体"/>
                <w:kern w:val="2"/>
                <w:sz w:val="21"/>
                <w:szCs w:val="21"/>
                <w:highlight w:val="none"/>
                <w:lang w:eastAsia="zh-CN"/>
              </w:rPr>
            </w:pPr>
            <w:r>
              <w:rPr>
                <w:rFonts w:hint="eastAsia" w:ascii="宋体" w:hAnsi="宋体" w:eastAsia="宋体" w:cs="宋体"/>
                <w:kern w:val="0"/>
                <w:szCs w:val="21"/>
                <w:highlight w:val="none"/>
              </w:rPr>
              <w:t>详见招标公告</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2</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招标代理机构</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textAlignment w:val="auto"/>
              <w:rPr>
                <w:rFonts w:hint="default" w:ascii="宋体" w:hAnsi="宋体" w:eastAsia="宋体" w:cs="宋体"/>
                <w:szCs w:val="21"/>
                <w:highlight w:val="none"/>
                <w:lang w:val="en-US" w:eastAsia="zh-CN"/>
              </w:rPr>
            </w:pPr>
            <w:r>
              <w:rPr>
                <w:rFonts w:hint="eastAsia" w:ascii="宋体" w:hAnsi="宋体" w:eastAsia="宋体" w:cs="宋体"/>
                <w:kern w:val="0"/>
                <w:szCs w:val="21"/>
                <w:highlight w:val="none"/>
              </w:rPr>
              <w:t>详见招标公告</w:t>
            </w:r>
          </w:p>
        </w:tc>
      </w:tr>
      <w:tr>
        <w:tblPrEx>
          <w:tblCellMar>
            <w:top w:w="0" w:type="dxa"/>
            <w:left w:w="108" w:type="dxa"/>
            <w:bottom w:w="0" w:type="dxa"/>
            <w:right w:w="108" w:type="dxa"/>
          </w:tblCellMar>
        </w:tblPrEx>
        <w:trPr>
          <w:trHeight w:val="52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3</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项目名称</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textAlignment w:val="auto"/>
              <w:rPr>
                <w:rFonts w:hint="eastAsia" w:ascii="宋体" w:hAnsi="宋体" w:eastAsia="宋体" w:cs="宋体"/>
                <w:szCs w:val="21"/>
                <w:highlight w:val="none"/>
                <w:lang w:eastAsia="zh-CN"/>
              </w:rPr>
            </w:pPr>
            <w:r>
              <w:rPr>
                <w:rFonts w:hint="eastAsia" w:ascii="宋体" w:hAnsi="宋体" w:eastAsia="宋体" w:cs="宋体"/>
                <w:kern w:val="0"/>
                <w:szCs w:val="21"/>
                <w:highlight w:val="none"/>
              </w:rPr>
              <w:t>详见招标公告</w:t>
            </w:r>
          </w:p>
        </w:tc>
      </w:tr>
      <w:tr>
        <w:tblPrEx>
          <w:tblCellMar>
            <w:top w:w="0" w:type="dxa"/>
            <w:left w:w="108" w:type="dxa"/>
            <w:bottom w:w="0" w:type="dxa"/>
            <w:right w:w="108" w:type="dxa"/>
          </w:tblCellMar>
        </w:tblPrEx>
        <w:trPr>
          <w:trHeight w:val="50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4</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建设地点</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textAlignment w:val="auto"/>
              <w:rPr>
                <w:rFonts w:ascii="宋体" w:hAnsi="宋体" w:cs="宋体"/>
                <w:szCs w:val="21"/>
                <w:highlight w:val="none"/>
              </w:rPr>
            </w:pPr>
            <w:r>
              <w:rPr>
                <w:rFonts w:hint="eastAsia" w:ascii="宋体" w:hAnsi="宋体" w:eastAsia="宋体" w:cs="宋体"/>
                <w:kern w:val="0"/>
                <w:szCs w:val="21"/>
                <w:highlight w:val="none"/>
              </w:rPr>
              <w:t>详见招标公告</w:t>
            </w:r>
          </w:p>
        </w:tc>
      </w:tr>
      <w:tr>
        <w:tblPrEx>
          <w:tblCellMar>
            <w:top w:w="0" w:type="dxa"/>
            <w:left w:w="108" w:type="dxa"/>
            <w:bottom w:w="0" w:type="dxa"/>
            <w:right w:w="108" w:type="dxa"/>
          </w:tblCellMar>
        </w:tblPrEx>
        <w:trPr>
          <w:trHeight w:val="555"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5</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jc w:val="center"/>
              <w:textAlignment w:val="auto"/>
              <w:rPr>
                <w:rFonts w:ascii="宋体" w:hAnsi="宋体" w:cs="宋体"/>
                <w:szCs w:val="21"/>
                <w:highlight w:val="none"/>
              </w:rPr>
            </w:pPr>
            <w:r>
              <w:rPr>
                <w:rFonts w:hint="eastAsia" w:ascii="宋体" w:hAnsi="宋体" w:cs="宋体"/>
                <w:color w:val="auto"/>
                <w:sz w:val="21"/>
                <w:szCs w:val="21"/>
                <w:highlight w:val="none"/>
              </w:rPr>
              <w:t>资金落实情况</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textAlignment w:val="auto"/>
              <w:rPr>
                <w:rFonts w:ascii="宋体" w:hAnsi="宋体" w:cs="宋体"/>
                <w:szCs w:val="21"/>
                <w:highlight w:val="none"/>
              </w:rPr>
            </w:pPr>
            <w:r>
              <w:rPr>
                <w:rFonts w:hint="eastAsia" w:ascii="宋体" w:hAnsi="宋体" w:cs="宋体"/>
                <w:color w:val="auto"/>
                <w:sz w:val="21"/>
                <w:szCs w:val="21"/>
                <w:highlight w:val="none"/>
                <w:lang w:val="en-US" w:eastAsia="zh-CN"/>
              </w:rPr>
              <w:t>已落实</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6</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招标范围</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ascii="宋体" w:hAnsi="宋体" w:cs="宋体"/>
                <w:szCs w:val="21"/>
                <w:highlight w:val="none"/>
              </w:rPr>
            </w:pPr>
            <w:r>
              <w:rPr>
                <w:rFonts w:hint="eastAsia"/>
                <w:color w:val="000000"/>
                <w:szCs w:val="21"/>
                <w:highlight w:val="none"/>
              </w:rPr>
              <w:t>详见招标公告</w:t>
            </w:r>
          </w:p>
        </w:tc>
      </w:tr>
      <w:tr>
        <w:tblPrEx>
          <w:tblCellMar>
            <w:top w:w="0" w:type="dxa"/>
            <w:left w:w="108" w:type="dxa"/>
            <w:bottom w:w="0" w:type="dxa"/>
            <w:right w:w="108" w:type="dxa"/>
          </w:tblCellMar>
        </w:tblPrEx>
        <w:trPr>
          <w:trHeight w:val="496"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7</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评标办法</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94"/>
              <w:keepNext w:val="0"/>
              <w:keepLines w:val="0"/>
              <w:pageBreakBefore w:val="0"/>
              <w:kinsoku/>
              <w:wordWrap/>
              <w:overflowPunct/>
              <w:autoSpaceDN/>
              <w:bidi w:val="0"/>
              <w:spacing w:line="440" w:lineRule="exact"/>
              <w:textAlignment w:val="auto"/>
              <w:rPr>
                <w:rFonts w:ascii="宋体" w:hAnsi="宋体" w:cs="宋体"/>
                <w:highlight w:val="none"/>
              </w:rPr>
            </w:pPr>
            <w:r>
              <w:rPr>
                <w:rFonts w:hint="eastAsia" w:ascii="宋体" w:hAnsi="宋体" w:cs="宋体"/>
                <w:color w:val="auto"/>
                <w:kern w:val="0"/>
                <w:sz w:val="21"/>
                <w:szCs w:val="21"/>
                <w:highlight w:val="none"/>
                <w:lang w:val="en-US" w:eastAsia="zh-CN"/>
              </w:rPr>
              <w:t>经评审最低价法</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8</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工期</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宋体" w:hAnsi="宋体" w:cs="宋体"/>
                <w:b/>
                <w:color w:val="auto"/>
                <w:sz w:val="21"/>
                <w:szCs w:val="21"/>
                <w:highlight w:val="none"/>
                <w:lang w:val="en-US" w:eastAsia="zh-CN"/>
              </w:rPr>
            </w:pPr>
            <w:r>
              <w:rPr>
                <w:rFonts w:hint="eastAsia" w:ascii="宋体" w:hAnsi="宋体" w:cs="宋体"/>
                <w:b/>
                <w:color w:val="auto"/>
                <w:sz w:val="21"/>
                <w:szCs w:val="21"/>
                <w:highlight w:val="none"/>
              </w:rPr>
              <w:t>计划工期：</w:t>
            </w:r>
            <w:r>
              <w:rPr>
                <w:rFonts w:hint="eastAsia" w:ascii="宋体" w:hAnsi="宋体" w:cs="宋体"/>
                <w:b/>
                <w:color w:val="auto"/>
                <w:sz w:val="21"/>
                <w:szCs w:val="21"/>
                <w:highlight w:val="none"/>
                <w:lang w:val="en-US" w:eastAsia="zh-CN"/>
              </w:rPr>
              <w:t>不高于</w:t>
            </w:r>
            <w:r>
              <w:rPr>
                <w:rFonts w:hint="eastAsia" w:ascii="宋体" w:hAnsi="宋体" w:cs="宋体"/>
                <w:b/>
                <w:color w:val="auto"/>
                <w:sz w:val="21"/>
                <w:szCs w:val="21"/>
                <w:highlight w:val="none"/>
                <w:u w:val="single"/>
                <w:lang w:val="en-US" w:eastAsia="zh-CN"/>
              </w:rPr>
              <w:t>180</w:t>
            </w:r>
            <w:r>
              <w:rPr>
                <w:rFonts w:hint="eastAsia" w:ascii="宋体" w:hAnsi="宋体" w:cs="宋体"/>
                <w:b/>
                <w:color w:val="auto"/>
                <w:sz w:val="21"/>
                <w:szCs w:val="21"/>
                <w:highlight w:val="none"/>
                <w:u w:val="none"/>
                <w:lang w:val="en-US" w:eastAsia="zh-CN"/>
              </w:rPr>
              <w:t>个</w:t>
            </w:r>
            <w:r>
              <w:rPr>
                <w:rFonts w:hint="eastAsia" w:ascii="宋体" w:hAnsi="宋体" w:cs="宋体"/>
                <w:b/>
                <w:color w:val="auto"/>
                <w:sz w:val="21"/>
                <w:szCs w:val="21"/>
                <w:highlight w:val="none"/>
                <w:lang w:val="en-US" w:eastAsia="zh-CN"/>
              </w:rPr>
              <w:t>日历天</w:t>
            </w:r>
          </w:p>
          <w:p>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计划开工日期：双方签订合同时明确</w:t>
            </w:r>
            <w:r>
              <w:rPr>
                <w:rFonts w:hint="eastAsia" w:ascii="宋体" w:hAnsi="宋体" w:cs="宋体"/>
                <w:color w:val="auto"/>
                <w:sz w:val="21"/>
                <w:szCs w:val="21"/>
                <w:highlight w:val="none"/>
                <w:lang w:val="en-US" w:eastAsia="zh-CN"/>
              </w:rPr>
              <w:t xml:space="preserve"> </w:t>
            </w:r>
          </w:p>
          <w:p>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计划竣工日期：双方签订合同时明确</w:t>
            </w:r>
          </w:p>
          <w:p>
            <w:pPr>
              <w:keepNext w:val="0"/>
              <w:keepLines w:val="0"/>
              <w:pageBreakBefore w:val="0"/>
              <w:kinsoku/>
              <w:wordWrap/>
              <w:overflowPunct/>
              <w:autoSpaceDN/>
              <w:bidi w:val="0"/>
              <w:spacing w:line="440" w:lineRule="exact"/>
              <w:textAlignment w:val="auto"/>
              <w:rPr>
                <w:rFonts w:ascii="宋体" w:hAnsi="宋体" w:cs="宋体"/>
                <w:color w:val="auto"/>
                <w:szCs w:val="21"/>
                <w:highlight w:val="none"/>
              </w:rPr>
            </w:pPr>
            <w:r>
              <w:rPr>
                <w:rFonts w:hint="eastAsia" w:ascii="宋体" w:hAnsi="宋体" w:cs="宋体"/>
                <w:color w:val="auto"/>
                <w:sz w:val="21"/>
                <w:szCs w:val="21"/>
                <w:highlight w:val="none"/>
              </w:rPr>
              <w:t>注：投标人自报的承诺工期为考核标准。工期每延误一天，处以</w:t>
            </w:r>
            <w:r>
              <w:rPr>
                <w:rFonts w:hint="eastAsia" w:ascii="宋体" w:hAnsi="宋体" w:cs="宋体"/>
                <w:color w:val="auto"/>
                <w:sz w:val="21"/>
                <w:szCs w:val="21"/>
                <w:highlight w:val="none"/>
                <w:u w:val="single"/>
                <w:lang w:val="en-US" w:eastAsia="zh-CN"/>
              </w:rPr>
              <w:t xml:space="preserve"> 1000 </w:t>
            </w:r>
            <w:r>
              <w:rPr>
                <w:rFonts w:hint="eastAsia" w:ascii="宋体" w:hAnsi="宋体" w:cs="宋体"/>
                <w:color w:val="auto"/>
                <w:sz w:val="21"/>
                <w:szCs w:val="21"/>
                <w:highlight w:val="none"/>
              </w:rPr>
              <w:t xml:space="preserve">元违约金，工期提前不奖励。   </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9</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color w:val="FF0000"/>
                <w:szCs w:val="21"/>
                <w:highlight w:val="none"/>
              </w:rPr>
            </w:pPr>
            <w:r>
              <w:rPr>
                <w:rFonts w:hint="eastAsia" w:ascii="宋体" w:hAnsi="宋体" w:cs="宋体"/>
                <w:szCs w:val="21"/>
                <w:highlight w:val="none"/>
              </w:rPr>
              <w:t>质量要求</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ascii="宋体" w:hAnsi="宋体" w:cs="宋体"/>
                <w:szCs w:val="21"/>
                <w:highlight w:val="none"/>
              </w:rPr>
            </w:pPr>
            <w:r>
              <w:rPr>
                <w:rFonts w:hint="eastAsia" w:ascii="宋体" w:hAnsi="宋体" w:cs="宋体"/>
                <w:kern w:val="0"/>
                <w:szCs w:val="21"/>
                <w:highlight w:val="none"/>
              </w:rPr>
              <w:t>必须达到国家工程施工质量验收</w:t>
            </w:r>
            <w:r>
              <w:rPr>
                <w:rFonts w:hint="eastAsia" w:ascii="宋体" w:hAnsi="宋体" w:cs="宋体"/>
                <w:kern w:val="0"/>
                <w:szCs w:val="21"/>
                <w:highlight w:val="none"/>
                <w:u w:val="single"/>
              </w:rPr>
              <w:t xml:space="preserve"> 合格 </w:t>
            </w:r>
            <w:r>
              <w:rPr>
                <w:rFonts w:hint="eastAsia" w:ascii="宋体" w:hAnsi="宋体" w:cs="宋体"/>
                <w:kern w:val="0"/>
                <w:szCs w:val="21"/>
                <w:highlight w:val="none"/>
              </w:rPr>
              <w:t>标准</w:t>
            </w:r>
            <w:r>
              <w:rPr>
                <w:rFonts w:hint="eastAsia" w:ascii="宋体" w:hAnsi="宋体" w:cs="宋体"/>
                <w:szCs w:val="21"/>
                <w:highlight w:val="none"/>
              </w:rPr>
              <w:t xml:space="preserve">。 </w:t>
            </w:r>
          </w:p>
        </w:tc>
      </w:tr>
      <w:tr>
        <w:tblPrEx>
          <w:tblCellMar>
            <w:top w:w="0" w:type="dxa"/>
            <w:left w:w="108" w:type="dxa"/>
            <w:bottom w:w="0" w:type="dxa"/>
            <w:right w:w="108" w:type="dxa"/>
          </w:tblCellMar>
        </w:tblPrEx>
        <w:trPr>
          <w:trHeight w:val="90" w:hRule="atLeast"/>
          <w:jc w:val="center"/>
        </w:trPr>
        <w:tc>
          <w:tcPr>
            <w:tcW w:w="868"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10</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投标人资质条件、能力和信誉</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详见招标公告</w:t>
            </w:r>
          </w:p>
        </w:tc>
      </w:tr>
      <w:tr>
        <w:tblPrEx>
          <w:tblCellMar>
            <w:top w:w="0" w:type="dxa"/>
            <w:left w:w="108" w:type="dxa"/>
            <w:bottom w:w="0" w:type="dxa"/>
            <w:right w:w="108" w:type="dxa"/>
          </w:tblCellMar>
        </w:tblPrEx>
        <w:trPr>
          <w:trHeight w:val="575" w:hRule="atLeast"/>
          <w:jc w:val="center"/>
        </w:trPr>
        <w:tc>
          <w:tcPr>
            <w:tcW w:w="868" w:type="dxa"/>
            <w:vMerge w:val="continue"/>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招标文件发布时间</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详见招标公告</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11</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pacing w:val="-4"/>
                <w:kern w:val="0"/>
                <w:szCs w:val="21"/>
                <w:highlight w:val="none"/>
              </w:rPr>
            </w:pPr>
            <w:r>
              <w:rPr>
                <w:rFonts w:hint="eastAsia" w:ascii="宋体" w:hAnsi="宋体" w:cs="宋体"/>
                <w:spacing w:val="-4"/>
                <w:kern w:val="0"/>
                <w:szCs w:val="21"/>
                <w:highlight w:val="none"/>
              </w:rPr>
              <w:t>踏勘现场</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19"/>
              <w:keepNext w:val="0"/>
              <w:keepLines w:val="0"/>
              <w:pageBreakBefore w:val="0"/>
              <w:kinsoku/>
              <w:wordWrap/>
              <w:overflowPunct/>
              <w:topLinePunct/>
              <w:autoSpaceDN/>
              <w:bidi w:val="0"/>
              <w:spacing w:line="440" w:lineRule="exact"/>
              <w:textAlignment w:val="auto"/>
              <w:rPr>
                <w:rFonts w:hAnsi="宋体" w:cs="宋体"/>
                <w:spacing w:val="-4"/>
                <w:kern w:val="0"/>
                <w:sz w:val="21"/>
                <w:szCs w:val="21"/>
                <w:highlight w:val="none"/>
              </w:rPr>
            </w:pPr>
            <w:r>
              <w:rPr>
                <w:rFonts w:hint="eastAsia" w:hAnsi="宋体" w:cs="宋体"/>
                <w:sz w:val="21"/>
                <w:szCs w:val="21"/>
                <w:highlight w:val="none"/>
              </w:rPr>
              <w:t>☑</w:t>
            </w:r>
            <w:r>
              <w:rPr>
                <w:rFonts w:hint="eastAsia" w:hAnsi="宋体" w:cs="宋体"/>
                <w:spacing w:val="-4"/>
                <w:kern w:val="0"/>
                <w:sz w:val="21"/>
                <w:szCs w:val="21"/>
                <w:highlight w:val="none"/>
              </w:rPr>
              <w:t>不组织，投标人自行组织踏勘现场</w:t>
            </w:r>
            <w:r>
              <w:rPr>
                <w:rFonts w:hint="eastAsia" w:hAnsi="宋体" w:cs="宋体"/>
                <w:sz w:val="21"/>
                <w:szCs w:val="21"/>
                <w:highlight w:val="none"/>
              </w:rPr>
              <w:t>；□组织</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12</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pacing w:val="-4"/>
                <w:kern w:val="0"/>
                <w:szCs w:val="21"/>
                <w:highlight w:val="none"/>
              </w:rPr>
            </w:pPr>
            <w:r>
              <w:rPr>
                <w:rFonts w:hint="eastAsia" w:ascii="宋体" w:hAnsi="宋体" w:cs="宋体"/>
                <w:spacing w:val="-4"/>
                <w:kern w:val="0"/>
                <w:szCs w:val="21"/>
                <w:highlight w:val="none"/>
              </w:rPr>
              <w:t>投标预备会</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19"/>
              <w:keepNext w:val="0"/>
              <w:keepLines w:val="0"/>
              <w:pageBreakBefore w:val="0"/>
              <w:kinsoku/>
              <w:wordWrap/>
              <w:overflowPunct/>
              <w:topLinePunct/>
              <w:autoSpaceDN/>
              <w:bidi w:val="0"/>
              <w:spacing w:line="440" w:lineRule="exact"/>
              <w:textAlignment w:val="auto"/>
              <w:rPr>
                <w:rFonts w:hAnsi="宋体" w:cs="宋体"/>
                <w:spacing w:val="-4"/>
                <w:kern w:val="0"/>
                <w:sz w:val="21"/>
                <w:szCs w:val="21"/>
                <w:highlight w:val="none"/>
              </w:rPr>
            </w:pPr>
            <w:r>
              <w:rPr>
                <w:rFonts w:hint="eastAsia" w:hAnsi="宋体" w:cs="宋体"/>
                <w:sz w:val="21"/>
                <w:szCs w:val="21"/>
                <w:highlight w:val="none"/>
                <w:lang w:eastAsia="zh-CN"/>
              </w:rPr>
              <w:t>☑</w:t>
            </w:r>
            <w:r>
              <w:rPr>
                <w:rFonts w:hint="eastAsia" w:hAnsi="宋体" w:cs="宋体"/>
                <w:spacing w:val="-4"/>
                <w:kern w:val="0"/>
                <w:sz w:val="21"/>
                <w:szCs w:val="21"/>
                <w:highlight w:val="none"/>
              </w:rPr>
              <w:t>不召开</w:t>
            </w:r>
            <w:r>
              <w:rPr>
                <w:rFonts w:hint="eastAsia" w:hAnsi="宋体" w:cs="宋体"/>
                <w:sz w:val="21"/>
                <w:szCs w:val="21"/>
                <w:highlight w:val="none"/>
              </w:rPr>
              <w:t>；</w:t>
            </w:r>
            <w:r>
              <w:rPr>
                <w:rFonts w:hint="eastAsia" w:hAnsi="宋体" w:cs="宋体"/>
                <w:sz w:val="21"/>
                <w:szCs w:val="21"/>
                <w:highlight w:val="none"/>
                <w:lang w:eastAsia="zh-CN"/>
              </w:rPr>
              <w:t>□</w:t>
            </w:r>
            <w:r>
              <w:rPr>
                <w:rFonts w:hint="eastAsia" w:hAnsi="宋体" w:cs="宋体"/>
                <w:sz w:val="21"/>
                <w:szCs w:val="21"/>
                <w:highlight w:val="none"/>
              </w:rPr>
              <w:t>召开</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13</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投标人提出问题的截止时间及方式</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25"/>
              <w:keepNext w:val="0"/>
              <w:keepLines w:val="0"/>
              <w:pageBreakBefore w:val="0"/>
              <w:kinsoku/>
              <w:wordWrap/>
              <w:overflowPunct/>
              <w:autoSpaceDN/>
              <w:bidi w:val="0"/>
              <w:spacing w:line="440" w:lineRule="exact"/>
              <w:textAlignment w:val="auto"/>
              <w:rPr>
                <w:rFonts w:hint="eastAsia" w:hAnsi="宋体" w:eastAsia="宋体" w:cs="宋体"/>
                <w:szCs w:val="21"/>
                <w:highlight w:val="none"/>
                <w:lang w:eastAsia="zh-CN"/>
              </w:rPr>
            </w:pPr>
            <w:r>
              <w:rPr>
                <w:rFonts w:hint="eastAsia" w:ascii="宋体" w:hAnsi="宋体" w:cs="宋体"/>
                <w:kern w:val="0"/>
                <w:szCs w:val="21"/>
              </w:rPr>
              <w:t>如投标人对招标文件有疑问，请于</w:t>
            </w:r>
            <w:r>
              <w:rPr>
                <w:rFonts w:hint="eastAsia" w:ascii="宋体" w:hAnsi="宋体" w:cs="宋体"/>
                <w:b w:val="0"/>
                <w:bCs/>
                <w:szCs w:val="21"/>
              </w:rPr>
              <w:t>202</w:t>
            </w:r>
            <w:r>
              <w:rPr>
                <w:rFonts w:hint="eastAsia" w:ascii="宋体" w:hAnsi="宋体" w:cs="宋体"/>
                <w:b w:val="0"/>
                <w:bCs/>
                <w:szCs w:val="21"/>
                <w:lang w:val="en-US" w:eastAsia="zh-CN"/>
              </w:rPr>
              <w:t>4</w:t>
            </w:r>
            <w:r>
              <w:rPr>
                <w:rFonts w:hint="eastAsia" w:ascii="宋体" w:hAnsi="宋体" w:cs="宋体"/>
                <w:b w:val="0"/>
                <w:bCs/>
                <w:szCs w:val="21"/>
              </w:rPr>
              <w:t>年</w:t>
            </w:r>
            <w:r>
              <w:rPr>
                <w:rFonts w:hint="eastAsia" w:ascii="宋体" w:hAnsi="宋体" w:cs="宋体"/>
                <w:b w:val="0"/>
                <w:bCs/>
                <w:szCs w:val="21"/>
                <w:lang w:val="en-US" w:eastAsia="zh-CN"/>
              </w:rPr>
              <w:t>12</w:t>
            </w:r>
            <w:r>
              <w:rPr>
                <w:rFonts w:hint="eastAsia" w:ascii="宋体" w:hAnsi="宋体" w:cs="宋体"/>
                <w:b w:val="0"/>
                <w:bCs/>
                <w:szCs w:val="21"/>
              </w:rPr>
              <w:t>月</w:t>
            </w:r>
            <w:r>
              <w:rPr>
                <w:rFonts w:hint="eastAsia" w:ascii="宋体" w:hAnsi="宋体" w:cs="宋体"/>
                <w:b w:val="0"/>
                <w:bCs/>
                <w:szCs w:val="21"/>
                <w:lang w:val="en-US" w:eastAsia="zh-CN"/>
              </w:rPr>
              <w:t>25</w:t>
            </w:r>
            <w:r>
              <w:rPr>
                <w:rFonts w:hint="eastAsia" w:ascii="宋体" w:hAnsi="宋体" w:cs="宋体"/>
                <w:b w:val="0"/>
                <w:bCs/>
                <w:szCs w:val="21"/>
              </w:rPr>
              <w:t>日1</w:t>
            </w:r>
            <w:r>
              <w:rPr>
                <w:rFonts w:hint="eastAsia" w:ascii="宋体" w:hAnsi="宋体" w:cs="宋体"/>
                <w:b w:val="0"/>
                <w:bCs/>
                <w:szCs w:val="21"/>
                <w:lang w:val="en-US" w:eastAsia="zh-CN"/>
              </w:rPr>
              <w:t>2</w:t>
            </w:r>
            <w:r>
              <w:rPr>
                <w:rFonts w:hint="eastAsia" w:ascii="宋体" w:hAnsi="宋体" w:cs="宋体"/>
                <w:b w:val="0"/>
                <w:bCs/>
                <w:szCs w:val="21"/>
              </w:rPr>
              <w:t>时</w:t>
            </w:r>
            <w:r>
              <w:rPr>
                <w:rFonts w:hint="eastAsia" w:ascii="宋体" w:hAnsi="宋体" w:cs="宋体"/>
                <w:kern w:val="0"/>
                <w:szCs w:val="21"/>
              </w:rPr>
              <w:t>前将疑问内容以电子邮件形式发送至</w:t>
            </w:r>
            <w:r>
              <w:rPr>
                <w:rFonts w:hint="eastAsia" w:ascii="宋体" w:hAnsi="宋体" w:cs="宋体"/>
                <w:kern w:val="0"/>
                <w:szCs w:val="21"/>
                <w:lang w:eastAsia="zh-CN"/>
              </w:rPr>
              <w:t>czsctzx@163.com（滁州市城投工程咨询管理有限公司邮箱）</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14</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招标人澄清的时间及方式</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ascii="宋体" w:hAnsi="宋体" w:cs="宋体"/>
                <w:szCs w:val="21"/>
                <w:highlight w:val="none"/>
              </w:rPr>
            </w:pPr>
            <w:r>
              <w:rPr>
                <w:rFonts w:hint="eastAsia" w:ascii="宋体" w:hAnsi="宋体" w:cs="宋体"/>
                <w:szCs w:val="21"/>
              </w:rPr>
              <w:fldChar w:fldCharType="begin"/>
            </w:r>
            <w:r>
              <w:rPr>
                <w:rFonts w:hint="eastAsia" w:ascii="宋体" w:hAnsi="宋体" w:cs="宋体"/>
                <w:szCs w:val="21"/>
              </w:rPr>
              <w:instrText xml:space="preserve"> HYPERLINK "mailto:日11时前将疑问内容以电子邮件形式发送至66267656@qq.com（安徽佳宝信项目管理有限公司邮箱），招标人将在2020年6月" </w:instrText>
            </w:r>
            <w:r>
              <w:rPr>
                <w:rFonts w:hint="eastAsia" w:ascii="宋体" w:hAnsi="宋体" w:cs="宋体"/>
                <w:szCs w:val="21"/>
              </w:rPr>
              <w:fldChar w:fldCharType="separate"/>
            </w:r>
            <w:r>
              <w:rPr>
                <w:rFonts w:hint="eastAsia" w:ascii="宋体" w:hAnsi="宋体" w:cs="宋体"/>
                <w:szCs w:val="21"/>
              </w:rPr>
              <w:t>招标人将在202</w:t>
            </w:r>
            <w:r>
              <w:rPr>
                <w:rFonts w:hint="eastAsia" w:ascii="宋体" w:hAnsi="宋体" w:cs="宋体"/>
                <w:szCs w:val="21"/>
                <w:lang w:val="en-US" w:eastAsia="zh-CN"/>
              </w:rPr>
              <w:t>4</w:t>
            </w:r>
            <w:r>
              <w:rPr>
                <w:rFonts w:hint="eastAsia" w:ascii="宋体" w:hAnsi="宋体" w:cs="宋体"/>
                <w:szCs w:val="21"/>
              </w:rPr>
              <w:t>年</w:t>
            </w:r>
            <w:r>
              <w:rPr>
                <w:rFonts w:hint="eastAsia" w:ascii="宋体" w:hAnsi="宋体" w:cs="宋体"/>
                <w:szCs w:val="21"/>
                <w:lang w:val="en-US" w:eastAsia="zh-CN"/>
              </w:rPr>
              <w:t>12</w:t>
            </w:r>
            <w:r>
              <w:rPr>
                <w:rFonts w:hint="eastAsia" w:ascii="宋体" w:hAnsi="宋体" w:cs="宋体"/>
                <w:szCs w:val="21"/>
              </w:rPr>
              <w:t>月</w:t>
            </w:r>
            <w:r>
              <w:rPr>
                <w:rFonts w:hint="eastAsia" w:ascii="宋体" w:hAnsi="宋体" w:cs="宋体"/>
                <w:szCs w:val="21"/>
              </w:rPr>
              <w:fldChar w:fldCharType="end"/>
            </w:r>
            <w:r>
              <w:rPr>
                <w:rFonts w:hint="eastAsia" w:ascii="宋体" w:hAnsi="宋体" w:cs="宋体"/>
                <w:szCs w:val="21"/>
                <w:lang w:val="en-US" w:eastAsia="zh-CN"/>
              </w:rPr>
              <w:t>26</w:t>
            </w:r>
            <w:r>
              <w:rPr>
                <w:rFonts w:hint="eastAsia" w:ascii="宋体" w:hAnsi="宋体" w:cs="宋体"/>
                <w:szCs w:val="21"/>
              </w:rPr>
              <w:t>日17时后</w:t>
            </w:r>
            <w:r>
              <w:rPr>
                <w:rFonts w:hint="eastAsia" w:ascii="宋体" w:hAnsi="宋体" w:cs="宋体"/>
                <w:szCs w:val="21"/>
                <w:lang w:val="en-US" w:eastAsia="zh-CN"/>
              </w:rPr>
              <w:t>在滁州市滁宁城际铁路开发建设有限公司网站（http://czctgs.cn/）</w:t>
            </w:r>
            <w:r>
              <w:rPr>
                <w:rFonts w:hint="eastAsia" w:ascii="宋体" w:hAnsi="宋体" w:cs="宋体"/>
                <w:szCs w:val="21"/>
              </w:rPr>
              <w:t>发布 ，请各位投标人注意查看有关澄清内容，如不及时查看造成后果由投标人自负。</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15</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eastAsia" w:ascii="宋体" w:hAnsi="宋体" w:cs="宋体"/>
                <w:szCs w:val="21"/>
                <w:highlight w:val="none"/>
              </w:rPr>
            </w:pPr>
            <w:r>
              <w:rPr>
                <w:rFonts w:hint="eastAsia" w:ascii="宋体" w:hAnsi="宋体" w:cs="宋体"/>
                <w:szCs w:val="21"/>
              </w:rPr>
              <w:t>分包</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19"/>
              <w:keepNext w:val="0"/>
              <w:keepLines w:val="0"/>
              <w:pageBreakBefore w:val="0"/>
              <w:kinsoku/>
              <w:wordWrap/>
              <w:overflowPunct/>
              <w:autoSpaceDN/>
              <w:bidi w:val="0"/>
              <w:spacing w:line="440" w:lineRule="exact"/>
              <w:jc w:val="left"/>
              <w:textAlignment w:val="auto"/>
              <w:rPr>
                <w:rFonts w:hint="eastAsia" w:hAnsi="宋体" w:cs="宋体"/>
                <w:sz w:val="21"/>
                <w:szCs w:val="21"/>
              </w:rPr>
            </w:pPr>
            <w:r>
              <w:rPr>
                <w:rFonts w:hint="eastAsia" w:hAnsi="宋体" w:cs="宋体"/>
                <w:sz w:val="21"/>
                <w:szCs w:val="21"/>
                <w:highlight w:val="none"/>
                <w:lang w:eastAsia="zh-CN"/>
              </w:rPr>
              <w:t>☑</w:t>
            </w:r>
            <w:r>
              <w:rPr>
                <w:rFonts w:hint="eastAsia" w:hAnsi="宋体" w:cs="宋体"/>
                <w:sz w:val="21"/>
                <w:szCs w:val="21"/>
              </w:rPr>
              <w:t>不允许</w:t>
            </w:r>
          </w:p>
          <w:p>
            <w:pPr>
              <w:keepNext w:val="0"/>
              <w:keepLines w:val="0"/>
              <w:pageBreakBefore w:val="0"/>
              <w:kinsoku/>
              <w:wordWrap/>
              <w:overflowPunct/>
              <w:autoSpaceDN/>
              <w:bidi w:val="0"/>
              <w:spacing w:line="440" w:lineRule="exact"/>
              <w:jc w:val="left"/>
              <w:textAlignment w:val="auto"/>
              <w:rPr>
                <w:rFonts w:hint="eastAsia"/>
                <w:szCs w:val="21"/>
              </w:rPr>
            </w:pPr>
            <w:r>
              <w:rPr>
                <w:rFonts w:hint="eastAsia" w:hAnsi="宋体" w:cs="宋体"/>
                <w:sz w:val="21"/>
                <w:szCs w:val="21"/>
                <w:highlight w:val="none"/>
                <w:lang w:eastAsia="zh-CN"/>
              </w:rPr>
              <w:t>□</w:t>
            </w:r>
            <w:r>
              <w:rPr>
                <w:rFonts w:hint="eastAsia" w:ascii="宋体" w:hAnsi="宋体" w:cs="宋体"/>
                <w:szCs w:val="21"/>
              </w:rPr>
              <w:t>允许，分包内容要求：/</w:t>
            </w:r>
          </w:p>
          <w:p>
            <w:pPr>
              <w:keepNext w:val="0"/>
              <w:keepLines w:val="0"/>
              <w:pageBreakBefore w:val="0"/>
              <w:kinsoku/>
              <w:wordWrap/>
              <w:overflowPunct/>
              <w:autoSpaceDN/>
              <w:bidi w:val="0"/>
              <w:spacing w:line="440" w:lineRule="exact"/>
              <w:jc w:val="left"/>
              <w:textAlignment w:val="auto"/>
              <w:rPr>
                <w:rFonts w:hint="eastAsia" w:ascii="宋体" w:hAnsi="宋体" w:cs="宋体"/>
                <w:szCs w:val="21"/>
              </w:rPr>
            </w:pPr>
            <w:r>
              <w:rPr>
                <w:rFonts w:hint="eastAsia" w:ascii="宋体" w:hAnsi="宋体" w:cs="宋体"/>
                <w:szCs w:val="21"/>
              </w:rPr>
              <w:t>分包金额要求：/</w:t>
            </w:r>
          </w:p>
          <w:p>
            <w:pPr>
              <w:pStyle w:val="19"/>
              <w:keepNext w:val="0"/>
              <w:keepLines w:val="0"/>
              <w:pageBreakBefore w:val="0"/>
              <w:kinsoku/>
              <w:wordWrap/>
              <w:overflowPunct/>
              <w:autoSpaceDN/>
              <w:bidi w:val="0"/>
              <w:spacing w:line="440" w:lineRule="exact"/>
              <w:jc w:val="left"/>
              <w:textAlignment w:val="auto"/>
              <w:rPr>
                <w:rFonts w:hint="eastAsia"/>
                <w:highlight w:val="none"/>
              </w:rPr>
            </w:pPr>
            <w:r>
              <w:rPr>
                <w:rFonts w:hint="eastAsia" w:hAnsi="宋体" w:cs="宋体"/>
                <w:sz w:val="21"/>
                <w:szCs w:val="21"/>
              </w:rPr>
              <w:t>接受分包的第三人资质要求：/</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eastAsia" w:ascii="宋体" w:hAnsi="宋体" w:eastAsia="宋体" w:cs="宋体"/>
                <w:szCs w:val="21"/>
                <w:highlight w:val="none"/>
                <w:lang w:eastAsia="zh-CN"/>
              </w:rPr>
            </w:pPr>
            <w:r>
              <w:rPr>
                <w:rFonts w:hint="eastAsia" w:ascii="宋体" w:hAnsi="宋体" w:cs="宋体"/>
                <w:szCs w:val="21"/>
                <w:highlight w:val="none"/>
              </w:rPr>
              <w:t>1</w:t>
            </w:r>
            <w:r>
              <w:rPr>
                <w:rFonts w:hint="eastAsia" w:ascii="宋体" w:hAnsi="宋体" w:cs="宋体"/>
                <w:szCs w:val="21"/>
                <w:highlight w:val="none"/>
                <w:lang w:val="en-US" w:eastAsia="zh-CN"/>
              </w:rPr>
              <w:t>6</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偏离</w:t>
            </w:r>
          </w:p>
        </w:tc>
        <w:tc>
          <w:tcPr>
            <w:tcW w:w="7251" w:type="dxa"/>
            <w:tcBorders>
              <w:top w:val="single" w:color="auto" w:sz="4" w:space="0"/>
              <w:left w:val="single" w:color="auto" w:sz="4" w:space="0"/>
              <w:bottom w:val="single" w:color="auto" w:sz="4" w:space="0"/>
              <w:right w:val="single" w:color="auto" w:sz="4" w:space="0"/>
            </w:tcBorders>
            <w:noWrap/>
            <w:vAlign w:val="center"/>
          </w:tcPr>
          <w:p>
            <w:pPr>
              <w:pStyle w:val="19"/>
              <w:keepNext w:val="0"/>
              <w:keepLines w:val="0"/>
              <w:pageBreakBefore w:val="0"/>
              <w:kinsoku/>
              <w:wordWrap/>
              <w:overflowPunct/>
              <w:topLinePunct/>
              <w:autoSpaceDN/>
              <w:bidi w:val="0"/>
              <w:spacing w:line="440" w:lineRule="exact"/>
              <w:textAlignment w:val="auto"/>
              <w:rPr>
                <w:rFonts w:hAnsi="宋体" w:cs="宋体"/>
                <w:sz w:val="21"/>
                <w:szCs w:val="21"/>
                <w:highlight w:val="none"/>
              </w:rPr>
            </w:pPr>
            <w:r>
              <w:rPr>
                <w:rFonts w:hint="eastAsia"/>
                <w:highlight w:val="none"/>
              </w:rPr>
              <w:t>☑</w:t>
            </w:r>
            <w:r>
              <w:rPr>
                <w:rFonts w:hint="eastAsia" w:hAnsi="宋体" w:cs="宋体"/>
                <w:sz w:val="21"/>
                <w:szCs w:val="21"/>
                <w:highlight w:val="none"/>
              </w:rPr>
              <w:t>不允许；□允许</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17</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构成招标文件的其他材料</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ascii="宋体" w:hAnsi="宋体" w:cs="宋体"/>
                <w:szCs w:val="21"/>
                <w:highlight w:val="none"/>
              </w:rPr>
            </w:pPr>
            <w:r>
              <w:rPr>
                <w:rFonts w:hint="eastAsia" w:ascii="宋体" w:hAnsi="宋体" w:cs="宋体"/>
                <w:szCs w:val="21"/>
              </w:rPr>
              <w:t>招标人提供的其他材料及招标澄清答疑文件</w:t>
            </w:r>
            <w:r>
              <w:rPr>
                <w:rFonts w:hint="eastAsia" w:ascii="宋体" w:hAnsi="宋体" w:cs="宋体"/>
                <w:szCs w:val="21"/>
                <w:lang w:val="en-US" w:eastAsia="zh-CN"/>
              </w:rPr>
              <w:t>等</w:t>
            </w:r>
            <w:r>
              <w:rPr>
                <w:rFonts w:hint="eastAsia" w:ascii="宋体" w:hAnsi="宋体" w:cs="宋体"/>
                <w:szCs w:val="21"/>
              </w:rPr>
              <w:t>。</w:t>
            </w:r>
          </w:p>
        </w:tc>
      </w:tr>
      <w:tr>
        <w:tblPrEx>
          <w:tblCellMar>
            <w:top w:w="0" w:type="dxa"/>
            <w:left w:w="108" w:type="dxa"/>
            <w:bottom w:w="0" w:type="dxa"/>
            <w:right w:w="108" w:type="dxa"/>
          </w:tblCellMar>
        </w:tblPrEx>
        <w:trPr>
          <w:trHeight w:val="404"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18</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投标人要求澄清招标文件的截止时间及方式</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ascii="宋体" w:hAnsi="宋体" w:cs="宋体"/>
                <w:szCs w:val="21"/>
                <w:highlight w:val="none"/>
              </w:rPr>
            </w:pPr>
            <w:r>
              <w:rPr>
                <w:rFonts w:hint="eastAsia" w:ascii="宋体" w:hAnsi="宋体" w:cs="宋体"/>
                <w:szCs w:val="21"/>
                <w:highlight w:val="none"/>
              </w:rPr>
              <w:t>同本表第13条</w:t>
            </w:r>
          </w:p>
        </w:tc>
      </w:tr>
      <w:tr>
        <w:tblPrEx>
          <w:tblCellMar>
            <w:top w:w="0" w:type="dxa"/>
            <w:left w:w="108" w:type="dxa"/>
            <w:bottom w:w="0" w:type="dxa"/>
            <w:right w:w="108" w:type="dxa"/>
          </w:tblCellMar>
        </w:tblPrEx>
        <w:trPr>
          <w:trHeight w:val="404"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19</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jc w:val="center"/>
              <w:textAlignment w:val="auto"/>
              <w:rPr>
                <w:rFonts w:hint="eastAsia" w:ascii="宋体" w:hAnsi="宋体" w:cs="宋体"/>
                <w:szCs w:val="21"/>
                <w:highlight w:val="none"/>
              </w:rPr>
            </w:pPr>
            <w:r>
              <w:rPr>
                <w:rFonts w:hint="eastAsia" w:ascii="宋体" w:hAnsi="宋体" w:eastAsia="宋体" w:cs="宋体"/>
                <w:color w:val="000000"/>
                <w:sz w:val="21"/>
                <w:szCs w:val="21"/>
              </w:rPr>
              <w:t>增值税税金</w:t>
            </w:r>
          </w:p>
        </w:tc>
        <w:tc>
          <w:tcPr>
            <w:tcW w:w="7251" w:type="dxa"/>
            <w:tcBorders>
              <w:top w:val="single" w:color="auto" w:sz="4" w:space="0"/>
              <w:left w:val="single" w:color="auto" w:sz="4" w:space="0"/>
              <w:bottom w:val="single" w:color="auto" w:sz="4" w:space="0"/>
              <w:right w:val="single" w:color="auto" w:sz="4" w:space="0"/>
            </w:tcBorders>
            <w:noWrap/>
            <w:vAlign w:val="top"/>
          </w:tcPr>
          <w:p>
            <w:pPr>
              <w:keepNext w:val="0"/>
              <w:keepLines w:val="0"/>
              <w:pageBreakBefore w:val="0"/>
              <w:kinsoku/>
              <w:wordWrap/>
              <w:overflowPunct/>
              <w:autoSpaceDN/>
              <w:bidi w:val="0"/>
              <w:adjustRightInd w:val="0"/>
              <w:snapToGrid w:val="0"/>
              <w:spacing w:line="440" w:lineRule="exact"/>
              <w:textAlignment w:val="auto"/>
              <w:rPr>
                <w:rFonts w:hint="eastAsia" w:ascii="宋体" w:hAnsi="宋体" w:eastAsia="宋体" w:cs="宋体"/>
                <w:bCs/>
                <w:snapToGrid w:val="0"/>
                <w:color w:val="000000"/>
                <w:kern w:val="0"/>
                <w:sz w:val="21"/>
                <w:szCs w:val="21"/>
              </w:rPr>
            </w:pPr>
            <w:r>
              <w:rPr>
                <w:rFonts w:hint="eastAsia" w:ascii="宋体" w:hAnsi="宋体" w:eastAsia="宋体" w:cs="宋体"/>
                <w:bCs/>
                <w:snapToGrid w:val="0"/>
                <w:color w:val="000000"/>
                <w:kern w:val="0"/>
                <w:sz w:val="21"/>
                <w:szCs w:val="21"/>
              </w:rPr>
              <w:t>（1）计税方法：</w:t>
            </w:r>
          </w:p>
          <w:p>
            <w:pPr>
              <w:keepNext w:val="0"/>
              <w:keepLines w:val="0"/>
              <w:pageBreakBefore w:val="0"/>
              <w:kinsoku/>
              <w:wordWrap/>
              <w:overflowPunct/>
              <w:autoSpaceDN/>
              <w:bidi w:val="0"/>
              <w:adjustRightInd w:val="0"/>
              <w:snapToGrid w:val="0"/>
              <w:spacing w:line="440" w:lineRule="exact"/>
              <w:ind w:firstLine="420" w:firstLineChars="200"/>
              <w:textAlignment w:val="auto"/>
              <w:rPr>
                <w:rFonts w:hint="eastAsia" w:ascii="宋体" w:hAnsi="宋体" w:eastAsia="宋体" w:cs="宋体"/>
                <w:bCs/>
                <w:snapToGrid w:val="0"/>
                <w:color w:val="000000"/>
                <w:kern w:val="0"/>
                <w:sz w:val="21"/>
                <w:szCs w:val="21"/>
              </w:rPr>
            </w:pPr>
            <w:r>
              <w:rPr>
                <w:rFonts w:hint="eastAsia" w:ascii="宋体" w:hAnsi="宋体" w:eastAsia="宋体" w:cs="宋体"/>
                <w:bCs/>
                <w:snapToGrid w:val="0"/>
                <w:color w:val="000000"/>
                <w:kern w:val="0"/>
                <w:sz w:val="21"/>
                <w:szCs w:val="21"/>
                <w:lang w:eastAsia="zh-CN"/>
              </w:rPr>
              <w:t>☑</w:t>
            </w:r>
            <w:r>
              <w:rPr>
                <w:rFonts w:hint="eastAsia" w:ascii="宋体" w:hAnsi="宋体" w:eastAsia="宋体" w:cs="宋体"/>
                <w:bCs/>
                <w:snapToGrid w:val="0"/>
                <w:color w:val="000000"/>
                <w:kern w:val="0"/>
                <w:sz w:val="21"/>
                <w:szCs w:val="21"/>
              </w:rPr>
              <w:t>一般计税方法</w:t>
            </w:r>
          </w:p>
          <w:p>
            <w:pPr>
              <w:keepNext w:val="0"/>
              <w:keepLines w:val="0"/>
              <w:pageBreakBefore w:val="0"/>
              <w:kinsoku/>
              <w:wordWrap/>
              <w:overflowPunct/>
              <w:autoSpaceDN/>
              <w:bidi w:val="0"/>
              <w:adjustRightInd w:val="0"/>
              <w:snapToGrid w:val="0"/>
              <w:spacing w:line="440" w:lineRule="exact"/>
              <w:ind w:firstLine="420" w:firstLineChars="200"/>
              <w:textAlignment w:val="auto"/>
              <w:rPr>
                <w:rFonts w:hint="eastAsia" w:ascii="宋体" w:hAnsi="宋体" w:eastAsia="宋体" w:cs="宋体"/>
                <w:bCs/>
                <w:snapToGrid w:val="0"/>
                <w:color w:val="000000"/>
                <w:kern w:val="0"/>
                <w:sz w:val="21"/>
                <w:szCs w:val="21"/>
              </w:rPr>
            </w:pPr>
            <w:r>
              <w:rPr>
                <w:rFonts w:hint="eastAsia" w:ascii="宋体" w:hAnsi="宋体" w:eastAsia="宋体" w:cs="宋体"/>
                <w:bCs/>
                <w:snapToGrid w:val="0"/>
                <w:color w:val="000000"/>
                <w:kern w:val="0"/>
                <w:sz w:val="21"/>
                <w:szCs w:val="21"/>
              </w:rPr>
              <w:t xml:space="preserve">□简易计算方法 </w:t>
            </w:r>
          </w:p>
          <w:p>
            <w:pPr>
              <w:keepNext w:val="0"/>
              <w:keepLines w:val="0"/>
              <w:pageBreakBefore w:val="0"/>
              <w:kinsoku/>
              <w:wordWrap/>
              <w:overflowPunct/>
              <w:autoSpaceDN/>
              <w:bidi w:val="0"/>
              <w:adjustRightInd w:val="0"/>
              <w:snapToGrid w:val="0"/>
              <w:spacing w:line="440" w:lineRule="exact"/>
              <w:textAlignment w:val="auto"/>
              <w:rPr>
                <w:rFonts w:hint="eastAsia" w:ascii="宋体" w:hAnsi="宋体" w:eastAsia="宋体" w:cs="宋体"/>
                <w:bCs/>
                <w:snapToGrid w:val="0"/>
                <w:color w:val="000000"/>
                <w:kern w:val="0"/>
                <w:sz w:val="21"/>
                <w:szCs w:val="21"/>
              </w:rPr>
            </w:pPr>
            <w:r>
              <w:rPr>
                <w:rFonts w:hint="eastAsia" w:ascii="宋体" w:hAnsi="宋体" w:eastAsia="宋体" w:cs="宋体"/>
                <w:bCs/>
                <w:snapToGrid w:val="0"/>
                <w:color w:val="000000"/>
                <w:kern w:val="0"/>
                <w:sz w:val="21"/>
                <w:szCs w:val="21"/>
              </w:rPr>
              <w:t>（2）发票类型：</w:t>
            </w:r>
          </w:p>
          <w:p>
            <w:pPr>
              <w:keepNext w:val="0"/>
              <w:keepLines w:val="0"/>
              <w:pageBreakBefore w:val="0"/>
              <w:kinsoku/>
              <w:wordWrap/>
              <w:overflowPunct/>
              <w:autoSpaceDN/>
              <w:bidi w:val="0"/>
              <w:adjustRightInd w:val="0"/>
              <w:snapToGrid w:val="0"/>
              <w:spacing w:line="440" w:lineRule="exact"/>
              <w:ind w:firstLine="420" w:firstLineChars="200"/>
              <w:textAlignment w:val="auto"/>
              <w:rPr>
                <w:rFonts w:hint="eastAsia" w:ascii="宋体" w:hAnsi="宋体" w:eastAsia="宋体" w:cs="宋体"/>
                <w:bCs/>
                <w:snapToGrid w:val="0"/>
                <w:color w:val="000000"/>
                <w:kern w:val="0"/>
                <w:sz w:val="21"/>
                <w:szCs w:val="21"/>
              </w:rPr>
            </w:pPr>
            <w:r>
              <w:rPr>
                <w:rFonts w:hint="eastAsia" w:ascii="宋体" w:hAnsi="宋体" w:eastAsia="宋体" w:cs="宋体"/>
                <w:bCs/>
                <w:snapToGrid w:val="0"/>
                <w:color w:val="000000"/>
                <w:kern w:val="0"/>
                <w:sz w:val="21"/>
                <w:szCs w:val="21"/>
                <w:lang w:eastAsia="zh-CN"/>
              </w:rPr>
              <w:t>☑</w:t>
            </w:r>
            <w:r>
              <w:rPr>
                <w:rFonts w:hint="eastAsia" w:ascii="宋体" w:hAnsi="宋体" w:eastAsia="宋体" w:cs="宋体"/>
                <w:bCs/>
                <w:snapToGrid w:val="0"/>
                <w:color w:val="000000"/>
                <w:kern w:val="0"/>
                <w:sz w:val="21"/>
                <w:szCs w:val="21"/>
              </w:rPr>
              <w:t>增值税专用发票</w:t>
            </w:r>
          </w:p>
          <w:p>
            <w:pPr>
              <w:keepNext w:val="0"/>
              <w:keepLines w:val="0"/>
              <w:pageBreakBefore w:val="0"/>
              <w:kinsoku/>
              <w:wordWrap/>
              <w:overflowPunct/>
              <w:autoSpaceDN/>
              <w:bidi w:val="0"/>
              <w:adjustRightInd w:val="0"/>
              <w:snapToGrid w:val="0"/>
              <w:spacing w:line="440" w:lineRule="exact"/>
              <w:ind w:firstLine="420" w:firstLineChars="200"/>
              <w:textAlignment w:val="auto"/>
              <w:rPr>
                <w:rFonts w:hint="eastAsia" w:ascii="宋体" w:hAnsi="宋体" w:eastAsia="宋体" w:cs="宋体"/>
                <w:bCs/>
                <w:snapToGrid w:val="0"/>
                <w:color w:val="000000"/>
                <w:kern w:val="0"/>
                <w:sz w:val="21"/>
                <w:szCs w:val="21"/>
              </w:rPr>
            </w:pPr>
            <w:r>
              <w:rPr>
                <w:rFonts w:hint="eastAsia" w:ascii="宋体" w:hAnsi="宋体" w:eastAsia="宋体" w:cs="宋体"/>
                <w:bCs/>
                <w:snapToGrid w:val="0"/>
                <w:color w:val="000000"/>
                <w:kern w:val="0"/>
                <w:sz w:val="21"/>
                <w:szCs w:val="21"/>
              </w:rPr>
              <w:t>□增值税普通发票</w:t>
            </w:r>
          </w:p>
          <w:p>
            <w:pPr>
              <w:keepNext w:val="0"/>
              <w:keepLines w:val="0"/>
              <w:pageBreakBefore w:val="0"/>
              <w:numPr>
                <w:ilvl w:val="0"/>
                <w:numId w:val="2"/>
              </w:numPr>
              <w:kinsoku/>
              <w:wordWrap/>
              <w:overflowPunct/>
              <w:autoSpaceDN/>
              <w:bidi w:val="0"/>
              <w:adjustRightInd w:val="0"/>
              <w:snapToGrid w:val="0"/>
              <w:spacing w:line="440" w:lineRule="exact"/>
              <w:textAlignment w:val="auto"/>
              <w:rPr>
                <w:rFonts w:hint="eastAsia" w:ascii="宋体" w:hAnsi="宋体" w:eastAsia="宋体" w:cs="宋体"/>
                <w:bCs/>
                <w:snapToGrid w:val="0"/>
                <w:color w:val="000000"/>
                <w:kern w:val="0"/>
                <w:sz w:val="21"/>
                <w:szCs w:val="21"/>
              </w:rPr>
            </w:pPr>
            <w:r>
              <w:rPr>
                <w:rFonts w:hint="eastAsia" w:ascii="宋体" w:hAnsi="宋体" w:eastAsia="宋体" w:cs="宋体"/>
                <w:bCs/>
                <w:snapToGrid w:val="0"/>
                <w:color w:val="000000"/>
                <w:kern w:val="0"/>
                <w:sz w:val="21"/>
                <w:szCs w:val="21"/>
              </w:rPr>
              <w:t>增值税税率按照国家有关规定执行。</w:t>
            </w:r>
          </w:p>
          <w:p>
            <w:pPr>
              <w:pStyle w:val="19"/>
              <w:keepNext w:val="0"/>
              <w:keepLines w:val="0"/>
              <w:pageBreakBefore w:val="0"/>
              <w:kinsoku/>
              <w:wordWrap/>
              <w:overflowPunct/>
              <w:topLinePunct/>
              <w:autoSpaceDN/>
              <w:bidi w:val="0"/>
              <w:adjustRightInd w:val="0"/>
              <w:snapToGrid w:val="0"/>
              <w:spacing w:line="440" w:lineRule="exact"/>
              <w:ind w:firstLine="525" w:firstLineChars="250"/>
              <w:textAlignment w:val="auto"/>
              <w:rPr>
                <w:rFonts w:hint="eastAsia" w:ascii="宋体" w:hAnsi="宋体" w:cs="宋体"/>
                <w:szCs w:val="21"/>
                <w:highlight w:val="none"/>
              </w:rPr>
            </w:pPr>
            <w:r>
              <w:rPr>
                <w:rFonts w:hint="eastAsia" w:ascii="宋体" w:hAnsi="宋体" w:eastAsia="宋体" w:cs="宋体"/>
                <w:bCs/>
                <w:snapToGrid w:val="0"/>
                <w:color w:val="000000"/>
                <w:kern w:val="0"/>
                <w:sz w:val="21"/>
                <w:szCs w:val="21"/>
              </w:rPr>
              <w:t>其它：</w:t>
            </w:r>
            <w:r>
              <w:rPr>
                <w:rFonts w:hint="eastAsia" w:ascii="宋体" w:hAnsi="宋体" w:eastAsia="宋体" w:cs="宋体"/>
                <w:bCs/>
                <w:snapToGrid w:val="0"/>
                <w:color w:val="000000"/>
                <w:kern w:val="0"/>
                <w:sz w:val="21"/>
                <w:szCs w:val="21"/>
                <w:u w:val="single"/>
                <w:lang w:val="en-US" w:eastAsia="zh-CN"/>
              </w:rPr>
              <w:t>/</w:t>
            </w:r>
            <w:r>
              <w:rPr>
                <w:rFonts w:hint="eastAsia" w:ascii="宋体" w:hAnsi="宋体" w:eastAsia="宋体" w:cs="宋体"/>
                <w:bCs/>
                <w:snapToGrid w:val="0"/>
                <w:color w:val="000000"/>
                <w:kern w:val="0"/>
                <w:sz w:val="21"/>
                <w:szCs w:val="21"/>
              </w:rPr>
              <w:t xml:space="preserve"> 。</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val="0"/>
              <w:snapToGrid w:val="0"/>
              <w:spacing w:line="440" w:lineRule="exact"/>
              <w:jc w:val="center"/>
              <w:textAlignment w:val="auto"/>
              <w:rPr>
                <w:rFonts w:ascii="宋体" w:hAnsi="宋体" w:cs="宋体"/>
                <w:color w:val="auto"/>
                <w:szCs w:val="21"/>
                <w:highlight w:val="none"/>
              </w:rPr>
            </w:pPr>
            <w:r>
              <w:rPr>
                <w:rFonts w:hint="eastAsia" w:ascii="宋体" w:hAnsi="宋体" w:cs="宋体"/>
                <w:b/>
                <w:bCs/>
                <w:color w:val="auto"/>
                <w:sz w:val="21"/>
                <w:szCs w:val="21"/>
                <w:highlight w:val="none"/>
              </w:rPr>
              <w:t>最高投标限价</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宋体" w:hAnsi="宋体" w:cs="宋体"/>
                <w:b/>
                <w:color w:val="auto"/>
                <w:sz w:val="21"/>
                <w:szCs w:val="21"/>
                <w:highlight w:val="none"/>
                <w:u w:val="single"/>
              </w:rPr>
            </w:pPr>
            <w:r>
              <w:rPr>
                <w:rFonts w:hint="eastAsia" w:ascii="宋体" w:hAnsi="宋体" w:cs="宋体"/>
                <w:color w:val="auto"/>
                <w:sz w:val="21"/>
                <w:szCs w:val="21"/>
                <w:highlight w:val="none"/>
              </w:rPr>
              <w:t>公布的最高投标限价：</w:t>
            </w:r>
            <w:r>
              <w:rPr>
                <w:rFonts w:hint="eastAsia" w:ascii="宋体" w:hAnsi="宋体" w:cs="宋体"/>
                <w:color w:val="auto"/>
                <w:sz w:val="21"/>
                <w:szCs w:val="21"/>
                <w:highlight w:val="none"/>
                <w:u w:val="single"/>
                <w:lang w:val="en-US" w:eastAsia="zh-CN"/>
              </w:rPr>
              <w:t>370000</w:t>
            </w:r>
            <w:r>
              <w:rPr>
                <w:rFonts w:hint="eastAsia" w:ascii="宋体" w:hAnsi="宋体" w:cs="宋体"/>
                <w:color w:val="auto"/>
                <w:sz w:val="21"/>
                <w:szCs w:val="21"/>
                <w:highlight w:val="none"/>
              </w:rPr>
              <w:t>元（其中含暂列金额</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rPr>
              <w:t>元）。应当</w:t>
            </w:r>
            <w:r>
              <w:rPr>
                <w:rFonts w:hint="eastAsia" w:ascii="宋体" w:hAnsi="宋体" w:cs="宋体"/>
                <w:b/>
                <w:bCs/>
                <w:color w:val="auto"/>
                <w:sz w:val="21"/>
                <w:szCs w:val="21"/>
                <w:highlight w:val="none"/>
                <w:u w:val="single"/>
              </w:rPr>
              <w:t>包括总价、各单位工程的分部分项工程费、措施项目费、其他项目费、不可竞争性费用和税金。</w:t>
            </w:r>
          </w:p>
          <w:p>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发布时间：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2024</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lang w:val="en-US" w:eastAsia="zh-CN"/>
              </w:rPr>
              <w:t>12</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20  </w:t>
            </w:r>
            <w:r>
              <w:rPr>
                <w:rFonts w:hint="eastAsia" w:ascii="宋体" w:hAnsi="宋体" w:cs="宋体"/>
                <w:color w:val="auto"/>
                <w:sz w:val="21"/>
                <w:szCs w:val="21"/>
                <w:highlight w:val="none"/>
              </w:rPr>
              <w:t>日</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17</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时前。</w:t>
            </w:r>
          </w:p>
          <w:p>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宋体" w:hAnsi="宋体" w:eastAsia="宋体" w:cs="宋体"/>
                <w:b/>
                <w:color w:val="auto"/>
                <w:szCs w:val="21"/>
                <w:highlight w:val="none"/>
                <w:u w:val="single"/>
                <w:lang w:eastAsia="zh-CN"/>
              </w:rPr>
            </w:pPr>
            <w:r>
              <w:rPr>
                <w:rFonts w:hint="eastAsia" w:ascii="宋体" w:hAnsi="宋体" w:cs="宋体"/>
                <w:b/>
                <w:bCs/>
                <w:color w:val="auto"/>
                <w:sz w:val="21"/>
                <w:szCs w:val="21"/>
                <w:highlight w:val="none"/>
              </w:rPr>
              <w:t>发布媒介：</w:t>
            </w:r>
            <w:r>
              <w:rPr>
                <w:rFonts w:hint="eastAsia" w:ascii="宋体" w:hAnsi="宋体" w:cs="宋体"/>
                <w:b/>
                <w:bCs/>
                <w:color w:val="auto"/>
                <w:sz w:val="21"/>
                <w:szCs w:val="21"/>
                <w:highlight w:val="none"/>
                <w:lang w:eastAsia="zh-CN"/>
              </w:rPr>
              <w:t>滁州市滁宁城际铁路开发建设有限公司网站（http://czctgs.cn/）</w:t>
            </w:r>
            <w:r>
              <w:rPr>
                <w:rFonts w:hint="eastAsia" w:ascii="宋体" w:hAnsi="宋体" w:cs="宋体"/>
                <w:b/>
                <w:bCs/>
                <w:color w:val="auto"/>
                <w:sz w:val="21"/>
                <w:szCs w:val="21"/>
                <w:highlight w:val="none"/>
              </w:rPr>
              <w:t xml:space="preserve">  </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21</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投标有效期</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ascii="宋体" w:hAnsi="宋体" w:cs="宋体"/>
                <w:szCs w:val="21"/>
                <w:highlight w:val="none"/>
              </w:rPr>
            </w:pPr>
            <w:r>
              <w:rPr>
                <w:rFonts w:hint="eastAsia" w:ascii="宋体" w:hAnsi="宋体" w:eastAsia="宋体" w:cs="宋体"/>
                <w:color w:val="000000"/>
                <w:kern w:val="0"/>
                <w:sz w:val="21"/>
                <w:szCs w:val="21"/>
              </w:rPr>
              <w:t>自投标人递交投标文件截止之日起计算</w:t>
            </w:r>
            <w:r>
              <w:rPr>
                <w:rFonts w:hint="eastAsia" w:ascii="宋体" w:hAnsi="宋体" w:eastAsia="宋体" w:cs="宋体"/>
                <w:color w:val="000000"/>
                <w:kern w:val="0"/>
                <w:sz w:val="21"/>
                <w:szCs w:val="21"/>
                <w:lang w:val="en-US" w:eastAsia="zh-CN"/>
              </w:rPr>
              <w:t>90</w:t>
            </w:r>
            <w:r>
              <w:rPr>
                <w:rFonts w:hint="eastAsia" w:ascii="宋体" w:hAnsi="宋体" w:eastAsia="宋体" w:cs="宋体"/>
                <w:color w:val="000000"/>
                <w:kern w:val="0"/>
                <w:sz w:val="21"/>
                <w:szCs w:val="21"/>
              </w:rPr>
              <w:t>日历天。在此期限内，凡符合本招标文件要求的投标文件均保持有效。</w:t>
            </w:r>
          </w:p>
        </w:tc>
      </w:tr>
      <w:tr>
        <w:tblPrEx>
          <w:tblCellMar>
            <w:top w:w="0" w:type="dxa"/>
            <w:left w:w="108" w:type="dxa"/>
            <w:bottom w:w="0" w:type="dxa"/>
            <w:right w:w="108" w:type="dxa"/>
          </w:tblCellMar>
        </w:tblPrEx>
        <w:trPr>
          <w:trHeight w:val="52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eastAsia" w:ascii="宋体" w:hAnsi="宋体" w:eastAsia="宋体" w:cs="宋体"/>
                <w:szCs w:val="21"/>
                <w:highlight w:val="none"/>
                <w:lang w:eastAsia="zh-CN"/>
              </w:rPr>
            </w:pPr>
            <w:r>
              <w:rPr>
                <w:rFonts w:hint="eastAsia" w:ascii="宋体" w:hAnsi="宋体" w:cs="宋体"/>
                <w:szCs w:val="21"/>
                <w:highlight w:val="none"/>
              </w:rPr>
              <w:t>2</w:t>
            </w:r>
            <w:r>
              <w:rPr>
                <w:rFonts w:hint="eastAsia" w:ascii="宋体" w:hAnsi="宋体" w:cs="宋体"/>
                <w:szCs w:val="21"/>
                <w:highlight w:val="none"/>
                <w:lang w:val="en-US" w:eastAsia="zh-CN"/>
              </w:rPr>
              <w:t>2</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投标保证金</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textAlignment w:val="auto"/>
              <w:rPr>
                <w:rFonts w:ascii="宋体" w:hAnsi="宋体" w:cs="宋体"/>
                <w:szCs w:val="21"/>
                <w:highlight w:val="none"/>
              </w:rPr>
            </w:pPr>
            <w:r>
              <w:rPr>
                <w:rFonts w:hint="eastAsia" w:ascii="宋体" w:hAnsi="宋体" w:cs="宋体"/>
                <w:szCs w:val="21"/>
                <w:highlight w:val="none"/>
              </w:rPr>
              <w:t>详见招标公告</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eastAsia" w:ascii="宋体" w:hAnsi="宋体" w:eastAsia="宋体" w:cs="宋体"/>
                <w:szCs w:val="21"/>
                <w:highlight w:val="none"/>
                <w:lang w:eastAsia="zh-CN"/>
              </w:rPr>
            </w:pPr>
            <w:r>
              <w:rPr>
                <w:rFonts w:hint="eastAsia" w:ascii="宋体" w:hAnsi="宋体" w:cs="宋体"/>
                <w:szCs w:val="21"/>
                <w:highlight w:val="none"/>
              </w:rPr>
              <w:t>2</w:t>
            </w:r>
            <w:r>
              <w:rPr>
                <w:rFonts w:hint="eastAsia" w:ascii="宋体" w:hAnsi="宋体" w:cs="宋体"/>
                <w:szCs w:val="21"/>
                <w:highlight w:val="none"/>
                <w:lang w:val="en-US" w:eastAsia="zh-CN"/>
              </w:rPr>
              <w:t>3</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签字或盖章要求</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autoSpaceDN/>
              <w:bidi w:val="0"/>
              <w:spacing w:line="440" w:lineRule="exact"/>
              <w:jc w:val="left"/>
              <w:textAlignment w:val="auto"/>
              <w:rPr>
                <w:rFonts w:hint="eastAsia" w:ascii="宋体" w:hAnsi="宋体" w:cs="宋体"/>
                <w:b/>
                <w:kern w:val="0"/>
                <w:szCs w:val="21"/>
              </w:rPr>
            </w:pPr>
            <w:r>
              <w:rPr>
                <w:rFonts w:hint="eastAsia" w:ascii="宋体" w:hAnsi="宋体" w:cs="宋体"/>
                <w:b/>
                <w:kern w:val="0"/>
                <w:szCs w:val="21"/>
              </w:rPr>
              <w:t>电子投标文件须按格式文件要求签字或盖章，招标文件格式中要求“签章”部位，指签字或盖章后扫描上传。</w:t>
            </w:r>
          </w:p>
          <w:p>
            <w:pPr>
              <w:keepNext w:val="0"/>
              <w:keepLines w:val="0"/>
              <w:pageBreakBefore w:val="0"/>
              <w:kinsoku/>
              <w:wordWrap/>
              <w:overflowPunct/>
              <w:autoSpaceDN/>
              <w:bidi w:val="0"/>
              <w:spacing w:line="440" w:lineRule="exact"/>
              <w:textAlignment w:val="auto"/>
              <w:rPr>
                <w:rFonts w:ascii="宋体" w:hAnsi="宋体" w:cs="宋体"/>
                <w:szCs w:val="21"/>
                <w:highlight w:val="none"/>
              </w:rPr>
            </w:pPr>
            <w:r>
              <w:rPr>
                <w:rFonts w:hint="eastAsia" w:ascii="宋体" w:hAnsi="宋体" w:cs="宋体"/>
                <w:b/>
                <w:kern w:val="0"/>
                <w:szCs w:val="21"/>
              </w:rPr>
              <w:t>否则经评委会一致认定按照无效投标处理。</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24</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投标文件份数</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autoSpaceDN/>
              <w:bidi w:val="0"/>
              <w:spacing w:line="440" w:lineRule="exact"/>
              <w:jc w:val="left"/>
              <w:textAlignment w:val="auto"/>
              <w:rPr>
                <w:rFonts w:hint="eastAsia" w:ascii="宋体" w:hAnsi="宋体" w:cs="宋体"/>
                <w:b/>
                <w:bCs/>
                <w:kern w:val="0"/>
                <w:szCs w:val="21"/>
              </w:rPr>
            </w:pPr>
            <w:r>
              <w:rPr>
                <w:rFonts w:hint="eastAsia" w:ascii="宋体" w:hAnsi="宋体" w:cs="宋体"/>
                <w:b/>
                <w:kern w:val="0"/>
                <w:szCs w:val="21"/>
              </w:rPr>
              <w:t>以电子邮件递交的电子投标文件：一份。以投标人在投标截止时间前电子邮件递交的电子投标文件为准，逾期提交的，投标文件将被拒绝。</w:t>
            </w:r>
          </w:p>
          <w:p>
            <w:pPr>
              <w:pStyle w:val="2"/>
              <w:keepNext w:val="0"/>
              <w:keepLines w:val="0"/>
              <w:pageBreakBefore w:val="0"/>
              <w:kinsoku/>
              <w:wordWrap/>
              <w:overflowPunct/>
              <w:autoSpaceDN/>
              <w:bidi w:val="0"/>
              <w:spacing w:line="440" w:lineRule="exact"/>
              <w:ind w:left="0" w:leftChars="0" w:firstLine="0" w:firstLineChars="0"/>
              <w:textAlignment w:val="auto"/>
              <w:rPr>
                <w:highlight w:val="none"/>
              </w:rPr>
            </w:pPr>
            <w:r>
              <w:rPr>
                <w:rFonts w:hint="eastAsia" w:ascii="宋体" w:hAnsi="宋体" w:cs="宋体"/>
                <w:b/>
                <w:bCs/>
                <w:kern w:val="0"/>
                <w:szCs w:val="21"/>
              </w:rPr>
              <w:t>（投标单位中标后须递交与网上电子投标文件完全一致的纸质版投标文件，并按要求加盖公章；份数：正本1份，副本</w:t>
            </w:r>
            <w:r>
              <w:rPr>
                <w:rFonts w:hint="eastAsia" w:hAnsi="宋体" w:cs="宋体"/>
                <w:b/>
                <w:bCs/>
                <w:kern w:val="0"/>
                <w:szCs w:val="21"/>
                <w:lang w:val="en-US" w:eastAsia="zh-CN"/>
              </w:rPr>
              <w:t>1</w:t>
            </w:r>
            <w:r>
              <w:rPr>
                <w:rFonts w:hint="eastAsia" w:ascii="宋体" w:hAnsi="宋体" w:cs="宋体"/>
                <w:b/>
                <w:bCs/>
                <w:kern w:val="0"/>
                <w:szCs w:val="21"/>
              </w:rPr>
              <w:t>份；中标单位领取中标通知书时，一并递交给代理机构）</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cs="宋体"/>
                <w:szCs w:val="21"/>
                <w:highlight w:val="none"/>
                <w:lang w:val="en-US"/>
              </w:rPr>
            </w:pPr>
            <w:r>
              <w:rPr>
                <w:rFonts w:hint="eastAsia" w:ascii="宋体" w:hAnsi="宋体" w:cs="宋体"/>
                <w:kern w:val="2"/>
                <w:highlight w:val="none"/>
                <w:lang w:val="en-US" w:eastAsia="zh-CN"/>
              </w:rPr>
              <w:t>25</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eastAsia="宋体" w:cs="宋体"/>
                <w:szCs w:val="21"/>
                <w:highlight w:val="none"/>
                <w:lang w:val="en-US" w:eastAsia="zh-CN"/>
              </w:rPr>
            </w:pPr>
            <w:r>
              <w:rPr>
                <w:rFonts w:hint="eastAsia" w:ascii="宋体"/>
                <w:color w:val="auto"/>
                <w:sz w:val="21"/>
                <w:szCs w:val="21"/>
                <w:highlight w:val="none"/>
              </w:rPr>
              <w:t>投标文件</w:t>
            </w:r>
            <w:r>
              <w:rPr>
                <w:rFonts w:hint="eastAsia" w:ascii="宋体"/>
                <w:color w:val="auto"/>
                <w:sz w:val="21"/>
                <w:szCs w:val="21"/>
                <w:highlight w:val="none"/>
                <w:lang w:val="en-US" w:eastAsia="zh-CN"/>
              </w:rPr>
              <w:t>的提交</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left"/>
              <w:textAlignment w:val="auto"/>
              <w:rPr>
                <w:rStyle w:val="57"/>
                <w:rFonts w:hint="eastAsia" w:ascii="宋体" w:hAnsi="宋体" w:eastAsia="宋体" w:cs="宋体"/>
                <w:b/>
                <w:bCs/>
                <w:color w:val="auto"/>
                <w:szCs w:val="21"/>
              </w:rPr>
            </w:pPr>
            <w:r>
              <w:rPr>
                <w:rFonts w:hint="eastAsia" w:ascii="宋体" w:hAnsi="宋体" w:cs="宋体"/>
                <w:b/>
                <w:bCs/>
                <w:szCs w:val="21"/>
              </w:rPr>
              <w:t>1、投标人须在投标文件截止时</w:t>
            </w:r>
            <w:r>
              <w:rPr>
                <w:rFonts w:hint="eastAsia" w:ascii="宋体" w:hAnsi="宋体" w:cs="宋体"/>
                <w:b/>
                <w:bCs/>
                <w:color w:val="auto"/>
                <w:szCs w:val="21"/>
              </w:rPr>
              <w:t>间前（202</w:t>
            </w:r>
            <w:r>
              <w:rPr>
                <w:rFonts w:hint="eastAsia" w:ascii="宋体" w:hAnsi="宋体" w:cs="宋体"/>
                <w:b/>
                <w:bCs/>
                <w:color w:val="auto"/>
                <w:szCs w:val="21"/>
                <w:lang w:val="en-US" w:eastAsia="zh-CN"/>
              </w:rPr>
              <w:t>4</w:t>
            </w:r>
            <w:r>
              <w:rPr>
                <w:rFonts w:hint="eastAsia" w:ascii="宋体" w:hAnsi="宋体" w:cs="宋体"/>
                <w:b/>
                <w:bCs/>
                <w:color w:val="auto"/>
                <w:szCs w:val="21"/>
              </w:rPr>
              <w:t>年</w:t>
            </w:r>
            <w:r>
              <w:rPr>
                <w:rFonts w:hint="eastAsia" w:ascii="宋体" w:hAnsi="宋体" w:cs="宋体"/>
                <w:b/>
                <w:bCs/>
                <w:color w:val="auto"/>
                <w:szCs w:val="21"/>
                <w:lang w:val="en-US" w:eastAsia="zh-CN"/>
              </w:rPr>
              <w:t>12</w:t>
            </w:r>
            <w:r>
              <w:rPr>
                <w:rFonts w:hint="eastAsia" w:ascii="宋体" w:hAnsi="宋体" w:cs="宋体"/>
                <w:b/>
                <w:bCs/>
                <w:color w:val="auto"/>
                <w:szCs w:val="21"/>
              </w:rPr>
              <w:t>月</w:t>
            </w:r>
            <w:r>
              <w:rPr>
                <w:rFonts w:hint="eastAsia" w:ascii="宋体" w:hAnsi="宋体" w:cs="宋体"/>
                <w:b/>
                <w:bCs/>
                <w:color w:val="auto"/>
                <w:szCs w:val="21"/>
                <w:lang w:val="en-US" w:eastAsia="zh-CN"/>
              </w:rPr>
              <w:t>31</w:t>
            </w:r>
            <w:r>
              <w:rPr>
                <w:rFonts w:hint="eastAsia" w:ascii="宋体" w:hAnsi="宋体" w:cs="宋体"/>
                <w:b/>
                <w:bCs/>
                <w:color w:val="auto"/>
                <w:szCs w:val="21"/>
              </w:rPr>
              <w:fldChar w:fldCharType="begin"/>
            </w:r>
            <w:r>
              <w:rPr>
                <w:rFonts w:hint="eastAsia" w:ascii="宋体" w:hAnsi="宋体" w:cs="宋体"/>
                <w:b/>
                <w:bCs/>
                <w:color w:val="auto"/>
                <w:szCs w:val="21"/>
              </w:rPr>
              <w:instrText xml:space="preserve"> HYPERLINK "mailto:日14时00分前）将投标文件以电子邮件的方式一次性发送至czsctgczx@163.com（滁州市城投工程咨询管理有限公司邮箱），投标文件格式限定为加密PDF格式，将文件命名为\“投标单位名称+项目名称\”，未在规定时间内发送加密PDF格式投标文件，投标将被拒绝，投标文件送达时间以滁州市城投工程咨询管理有限公司邮箱显示的邮件送达时间为准，若投标人重复发送电子投标文件的，将以2022年" </w:instrText>
            </w:r>
            <w:r>
              <w:rPr>
                <w:rFonts w:hint="eastAsia" w:ascii="宋体" w:hAnsi="宋体" w:cs="宋体"/>
                <w:b/>
                <w:bCs/>
                <w:color w:val="auto"/>
                <w:szCs w:val="21"/>
              </w:rPr>
              <w:fldChar w:fldCharType="separate"/>
            </w:r>
            <w:r>
              <w:rPr>
                <w:rStyle w:val="57"/>
                <w:rFonts w:hint="eastAsia" w:ascii="宋体" w:hAnsi="宋体" w:cs="宋体"/>
                <w:b/>
                <w:bCs/>
                <w:color w:val="auto"/>
                <w:szCs w:val="21"/>
              </w:rPr>
              <w:t>日</w:t>
            </w:r>
            <w:r>
              <w:rPr>
                <w:rStyle w:val="57"/>
                <w:rFonts w:hint="eastAsia" w:ascii="宋体" w:hAnsi="宋体" w:cs="宋体"/>
                <w:b/>
                <w:bCs/>
                <w:color w:val="auto"/>
                <w:szCs w:val="21"/>
                <w:lang w:val="en-US" w:eastAsia="zh-CN"/>
              </w:rPr>
              <w:t>9</w:t>
            </w:r>
            <w:r>
              <w:rPr>
                <w:rStyle w:val="57"/>
                <w:rFonts w:hint="eastAsia" w:ascii="宋体" w:hAnsi="宋体" w:cs="宋体"/>
                <w:b/>
                <w:bCs/>
                <w:color w:val="auto"/>
                <w:szCs w:val="21"/>
              </w:rPr>
              <w:t>时</w:t>
            </w:r>
            <w:r>
              <w:rPr>
                <w:rStyle w:val="57"/>
                <w:rFonts w:hint="eastAsia" w:ascii="宋体" w:hAnsi="宋体" w:cs="宋体"/>
                <w:b/>
                <w:bCs/>
                <w:color w:val="auto"/>
                <w:szCs w:val="21"/>
                <w:lang w:val="en-US" w:eastAsia="zh-CN"/>
              </w:rPr>
              <w:t>0</w:t>
            </w:r>
            <w:r>
              <w:rPr>
                <w:rStyle w:val="57"/>
                <w:rFonts w:hint="eastAsia" w:ascii="宋体" w:hAnsi="宋体" w:cs="宋体"/>
                <w:b/>
                <w:bCs/>
                <w:color w:val="auto"/>
                <w:szCs w:val="21"/>
              </w:rPr>
              <w:t>0分前）将投标文件以电子邮件的方式一次性发送至</w:t>
            </w:r>
            <w:r>
              <w:rPr>
                <w:rStyle w:val="57"/>
                <w:rFonts w:hint="eastAsia" w:ascii="宋体" w:hAnsi="宋体" w:cs="宋体"/>
                <w:b/>
                <w:bCs/>
                <w:color w:val="auto"/>
                <w:szCs w:val="21"/>
                <w:lang w:eastAsia="zh-CN"/>
              </w:rPr>
              <w:t>czsctzx@163.com</w:t>
            </w:r>
            <w:r>
              <w:rPr>
                <w:rStyle w:val="57"/>
                <w:rFonts w:hint="eastAsia" w:ascii="宋体" w:hAnsi="宋体" w:cs="宋体"/>
                <w:b/>
                <w:bCs/>
                <w:color w:val="auto"/>
                <w:szCs w:val="21"/>
              </w:rPr>
              <w:t>（滁州市城投工程咨询管理有限公司邮箱），投标文件格式限定为加密PDF格式，将文件命名为“投标单位名称+项目名称</w:t>
            </w:r>
            <w:r>
              <w:rPr>
                <w:rStyle w:val="57"/>
                <w:rFonts w:hint="eastAsia" w:ascii="宋体" w:hAnsi="宋体" w:cs="宋体"/>
                <w:b/>
                <w:bCs/>
                <w:color w:val="auto"/>
                <w:szCs w:val="21"/>
                <w:lang w:val="en-US" w:eastAsia="zh-CN"/>
              </w:rPr>
              <w:t>+联系人及联系电话</w:t>
            </w:r>
            <w:r>
              <w:rPr>
                <w:rStyle w:val="57"/>
                <w:rFonts w:hint="eastAsia" w:ascii="宋体" w:hAnsi="宋体" w:cs="宋体"/>
                <w:b/>
                <w:bCs/>
                <w:color w:val="auto"/>
                <w:szCs w:val="21"/>
              </w:rPr>
              <w:t>”，未在规定时间内发送加密PDF格式投标文件，投标将被拒绝，投标文件送达时间以滁州市城投工程咨询管理有限公司邮箱显示的邮件送达时间为准，若投标人重复发送电子投标文件的，将以202</w:t>
            </w:r>
            <w:r>
              <w:rPr>
                <w:rStyle w:val="57"/>
                <w:rFonts w:hint="eastAsia" w:ascii="宋体" w:hAnsi="宋体" w:cs="宋体"/>
                <w:b/>
                <w:bCs/>
                <w:color w:val="auto"/>
                <w:szCs w:val="21"/>
                <w:lang w:val="en-US" w:eastAsia="zh-CN"/>
              </w:rPr>
              <w:t>4</w:t>
            </w:r>
            <w:r>
              <w:rPr>
                <w:rStyle w:val="57"/>
                <w:rFonts w:hint="eastAsia" w:ascii="宋体" w:hAnsi="宋体" w:cs="宋体"/>
                <w:b/>
                <w:bCs/>
                <w:color w:val="auto"/>
                <w:szCs w:val="21"/>
              </w:rPr>
              <w:t>年</w:t>
            </w:r>
            <w:r>
              <w:rPr>
                <w:rFonts w:hint="eastAsia" w:ascii="宋体" w:hAnsi="宋体" w:cs="宋体"/>
                <w:b/>
                <w:bCs/>
                <w:color w:val="auto"/>
                <w:szCs w:val="21"/>
              </w:rPr>
              <w:fldChar w:fldCharType="end"/>
            </w:r>
            <w:r>
              <w:rPr>
                <w:rFonts w:hint="eastAsia" w:ascii="宋体" w:hAnsi="宋体" w:cs="宋体"/>
                <w:b/>
                <w:bCs/>
                <w:color w:val="auto"/>
                <w:szCs w:val="21"/>
                <w:lang w:val="en-US" w:eastAsia="zh-CN"/>
              </w:rPr>
              <w:t>12</w:t>
            </w:r>
            <w:r>
              <w:rPr>
                <w:rFonts w:hint="eastAsia" w:ascii="宋体" w:hAnsi="宋体" w:cs="宋体"/>
                <w:b/>
                <w:bCs/>
                <w:color w:val="auto"/>
                <w:szCs w:val="21"/>
              </w:rPr>
              <w:t>月</w:t>
            </w:r>
            <w:r>
              <w:rPr>
                <w:rFonts w:hint="eastAsia" w:ascii="宋体" w:hAnsi="宋体" w:cs="宋体"/>
                <w:b/>
                <w:bCs/>
                <w:color w:val="auto"/>
                <w:szCs w:val="21"/>
                <w:lang w:val="en-US" w:eastAsia="zh-CN"/>
              </w:rPr>
              <w:t>31</w:t>
            </w:r>
            <w:r>
              <w:rPr>
                <w:rFonts w:hint="eastAsia" w:ascii="宋体" w:hAnsi="宋体" w:cs="宋体"/>
                <w:b/>
                <w:bCs/>
                <w:szCs w:val="21"/>
              </w:rPr>
              <w:t>日</w:t>
            </w:r>
            <w:r>
              <w:rPr>
                <w:rFonts w:hint="eastAsia" w:ascii="宋体" w:hAnsi="宋体" w:cs="宋体"/>
                <w:b/>
                <w:bCs/>
                <w:szCs w:val="21"/>
                <w:lang w:val="en-US" w:eastAsia="zh-CN"/>
              </w:rPr>
              <w:t>9</w:t>
            </w:r>
            <w:r>
              <w:rPr>
                <w:rFonts w:hint="eastAsia" w:ascii="宋体" w:hAnsi="宋体" w:cs="宋体"/>
                <w:b/>
                <w:bCs/>
                <w:szCs w:val="21"/>
              </w:rPr>
              <w:t>时</w:t>
            </w:r>
            <w:r>
              <w:rPr>
                <w:rFonts w:hint="eastAsia" w:ascii="宋体" w:hAnsi="宋体" w:cs="宋体"/>
                <w:b/>
                <w:bCs/>
                <w:szCs w:val="21"/>
                <w:lang w:val="en-US" w:eastAsia="zh-CN"/>
              </w:rPr>
              <w:t>0</w:t>
            </w:r>
            <w:r>
              <w:rPr>
                <w:rFonts w:hint="eastAsia" w:ascii="宋体" w:hAnsi="宋体" w:cs="宋体"/>
                <w:b/>
                <w:bCs/>
                <w:szCs w:val="21"/>
              </w:rPr>
              <w:t>0分前最后收到的投标文件为准,投标文件无法打开的，由</w:t>
            </w:r>
            <w:r>
              <w:rPr>
                <w:rStyle w:val="57"/>
                <w:rFonts w:hint="eastAsia" w:ascii="宋体" w:hAnsi="宋体" w:eastAsia="宋体" w:cs="宋体"/>
                <w:b/>
                <w:bCs/>
                <w:color w:val="auto"/>
                <w:szCs w:val="21"/>
              </w:rPr>
              <w:t>投标人自行承担后果。</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19" w:firstLineChars="9"/>
              <w:textAlignment w:val="auto"/>
              <w:rPr>
                <w:rFonts w:hint="eastAsia" w:ascii="宋体" w:hAnsi="宋体" w:eastAsia="宋体" w:cs="宋体"/>
                <w:color w:val="auto"/>
                <w:sz w:val="21"/>
                <w:szCs w:val="21"/>
                <w:highlight w:val="none"/>
                <w:lang w:val="en-US" w:eastAsia="zh-CN"/>
              </w:rPr>
            </w:pPr>
            <w:r>
              <w:rPr>
                <w:rStyle w:val="57"/>
                <w:rFonts w:hint="eastAsia" w:ascii="宋体" w:hAnsi="宋体" w:eastAsia="宋体" w:cs="宋体"/>
                <w:b/>
                <w:bCs/>
                <w:color w:val="auto"/>
                <w:szCs w:val="21"/>
              </w:rPr>
              <w:fldChar w:fldCharType="begin"/>
            </w:r>
            <w:r>
              <w:rPr>
                <w:rStyle w:val="57"/>
                <w:rFonts w:hint="eastAsia" w:ascii="宋体" w:hAnsi="宋体" w:eastAsia="宋体" w:cs="宋体"/>
                <w:b/>
                <w:bCs/>
                <w:color w:val="auto"/>
                <w:szCs w:val="21"/>
              </w:rPr>
              <w:instrText xml:space="preserve"> HYPERLINK "mailto:2、投标人在2022年  月  日14时00分至2022年  月  日14时30分内将投标文件的密码（投标单位名称+密码）发送至czsctgczx@163.com（滁州市城投工程咨询管理有限公司邮箱）。未在规定时间内发送密码的，投标将被拒绝。" </w:instrText>
            </w:r>
            <w:r>
              <w:rPr>
                <w:rStyle w:val="57"/>
                <w:rFonts w:hint="eastAsia" w:ascii="宋体" w:hAnsi="宋体" w:eastAsia="宋体" w:cs="宋体"/>
                <w:b/>
                <w:bCs/>
                <w:color w:val="auto"/>
                <w:szCs w:val="21"/>
              </w:rPr>
              <w:fldChar w:fldCharType="separate"/>
            </w:r>
            <w:r>
              <w:rPr>
                <w:rStyle w:val="57"/>
                <w:rFonts w:hint="eastAsia" w:ascii="宋体" w:hAnsi="宋体" w:eastAsia="宋体" w:cs="宋体"/>
                <w:b/>
                <w:bCs/>
                <w:color w:val="auto"/>
                <w:szCs w:val="21"/>
              </w:rPr>
              <w:t>2、投标人在202</w:t>
            </w:r>
            <w:r>
              <w:rPr>
                <w:rStyle w:val="57"/>
                <w:rFonts w:hint="eastAsia" w:ascii="宋体" w:hAnsi="宋体" w:cs="宋体"/>
                <w:b/>
                <w:bCs/>
                <w:color w:val="auto"/>
                <w:szCs w:val="21"/>
                <w:lang w:val="en-US" w:eastAsia="zh-CN"/>
              </w:rPr>
              <w:t>4</w:t>
            </w:r>
            <w:r>
              <w:rPr>
                <w:rStyle w:val="57"/>
                <w:rFonts w:hint="eastAsia" w:ascii="宋体" w:hAnsi="宋体" w:eastAsia="宋体" w:cs="宋体"/>
                <w:b/>
                <w:bCs/>
                <w:color w:val="auto"/>
                <w:szCs w:val="21"/>
              </w:rPr>
              <w:t>年</w:t>
            </w:r>
            <w:r>
              <w:rPr>
                <w:rFonts w:hint="eastAsia" w:ascii="宋体" w:hAnsi="宋体" w:cs="宋体"/>
                <w:b/>
                <w:bCs/>
                <w:color w:val="auto"/>
                <w:szCs w:val="21"/>
                <w:lang w:val="en-US" w:eastAsia="zh-CN"/>
              </w:rPr>
              <w:t>12</w:t>
            </w:r>
            <w:r>
              <w:rPr>
                <w:rFonts w:hint="eastAsia" w:ascii="宋体" w:hAnsi="宋体" w:cs="宋体"/>
                <w:b/>
                <w:bCs/>
                <w:color w:val="auto"/>
                <w:szCs w:val="21"/>
              </w:rPr>
              <w:t>月</w:t>
            </w:r>
            <w:r>
              <w:rPr>
                <w:rFonts w:hint="eastAsia" w:ascii="宋体" w:hAnsi="宋体" w:cs="宋体"/>
                <w:b/>
                <w:bCs/>
                <w:color w:val="auto"/>
                <w:szCs w:val="21"/>
                <w:lang w:val="en-US" w:eastAsia="zh-CN"/>
              </w:rPr>
              <w:t>31</w:t>
            </w:r>
            <w:r>
              <w:rPr>
                <w:rStyle w:val="57"/>
                <w:rFonts w:hint="eastAsia" w:ascii="宋体" w:hAnsi="宋体" w:eastAsia="宋体" w:cs="宋体"/>
                <w:b/>
                <w:bCs/>
                <w:color w:val="auto"/>
                <w:szCs w:val="21"/>
              </w:rPr>
              <w:t>日</w:t>
            </w:r>
            <w:r>
              <w:rPr>
                <w:rStyle w:val="57"/>
                <w:rFonts w:hint="eastAsia" w:ascii="宋体" w:hAnsi="宋体" w:cs="宋体"/>
                <w:b/>
                <w:bCs/>
                <w:color w:val="auto"/>
                <w:szCs w:val="21"/>
                <w:lang w:val="en-US" w:eastAsia="zh-CN"/>
              </w:rPr>
              <w:t>9</w:t>
            </w:r>
            <w:r>
              <w:rPr>
                <w:rStyle w:val="57"/>
                <w:rFonts w:hint="eastAsia" w:ascii="宋体" w:hAnsi="宋体" w:eastAsia="宋体" w:cs="宋体"/>
                <w:b/>
                <w:bCs/>
                <w:color w:val="auto"/>
                <w:szCs w:val="21"/>
              </w:rPr>
              <w:t>时</w:t>
            </w:r>
            <w:r>
              <w:rPr>
                <w:rStyle w:val="57"/>
                <w:rFonts w:hint="eastAsia" w:ascii="宋体" w:hAnsi="宋体" w:cs="宋体"/>
                <w:b/>
                <w:bCs/>
                <w:color w:val="auto"/>
                <w:szCs w:val="21"/>
                <w:lang w:val="en-US" w:eastAsia="zh-CN"/>
              </w:rPr>
              <w:t>0</w:t>
            </w:r>
            <w:r>
              <w:rPr>
                <w:rStyle w:val="57"/>
                <w:rFonts w:hint="eastAsia" w:ascii="宋体" w:hAnsi="宋体" w:eastAsia="宋体" w:cs="宋体"/>
                <w:b/>
                <w:bCs/>
                <w:color w:val="auto"/>
                <w:szCs w:val="21"/>
              </w:rPr>
              <w:t>0分至202</w:t>
            </w:r>
            <w:r>
              <w:rPr>
                <w:rStyle w:val="57"/>
                <w:rFonts w:hint="eastAsia" w:ascii="宋体" w:hAnsi="宋体" w:cs="宋体"/>
                <w:b/>
                <w:bCs/>
                <w:color w:val="auto"/>
                <w:szCs w:val="21"/>
                <w:lang w:val="en-US" w:eastAsia="zh-CN"/>
              </w:rPr>
              <w:t>4</w:t>
            </w:r>
            <w:r>
              <w:rPr>
                <w:rStyle w:val="57"/>
                <w:rFonts w:hint="eastAsia" w:ascii="宋体" w:hAnsi="宋体" w:eastAsia="宋体" w:cs="宋体"/>
                <w:b/>
                <w:bCs/>
                <w:color w:val="auto"/>
                <w:szCs w:val="21"/>
              </w:rPr>
              <w:t>年</w:t>
            </w:r>
            <w:r>
              <w:rPr>
                <w:rStyle w:val="57"/>
                <w:rFonts w:hint="eastAsia" w:ascii="宋体" w:hAnsi="宋体" w:cs="宋体"/>
                <w:b/>
                <w:bCs/>
                <w:color w:val="auto"/>
                <w:szCs w:val="21"/>
                <w:lang w:val="en-US" w:eastAsia="zh-CN"/>
              </w:rPr>
              <w:t>12</w:t>
            </w:r>
            <w:r>
              <w:rPr>
                <w:rFonts w:hint="eastAsia" w:ascii="宋体" w:hAnsi="宋体" w:cs="宋体"/>
                <w:b/>
                <w:bCs/>
                <w:color w:val="auto"/>
                <w:szCs w:val="21"/>
              </w:rPr>
              <w:t>月</w:t>
            </w:r>
            <w:r>
              <w:rPr>
                <w:rFonts w:hint="eastAsia" w:ascii="宋体" w:hAnsi="宋体" w:cs="宋体"/>
                <w:b/>
                <w:bCs/>
                <w:color w:val="auto"/>
                <w:szCs w:val="21"/>
                <w:lang w:val="en-US" w:eastAsia="zh-CN"/>
              </w:rPr>
              <w:t>31</w:t>
            </w:r>
            <w:r>
              <w:rPr>
                <w:rStyle w:val="57"/>
                <w:rFonts w:hint="eastAsia" w:ascii="宋体" w:hAnsi="宋体" w:eastAsia="宋体" w:cs="宋体"/>
                <w:b/>
                <w:bCs/>
                <w:color w:val="auto"/>
                <w:szCs w:val="21"/>
              </w:rPr>
              <w:t>日</w:t>
            </w:r>
            <w:r>
              <w:rPr>
                <w:rStyle w:val="57"/>
                <w:rFonts w:hint="eastAsia" w:ascii="宋体" w:hAnsi="宋体" w:cs="宋体"/>
                <w:b/>
                <w:bCs/>
                <w:color w:val="auto"/>
                <w:szCs w:val="21"/>
                <w:lang w:val="en-US" w:eastAsia="zh-CN"/>
              </w:rPr>
              <w:t>9</w:t>
            </w:r>
            <w:r>
              <w:rPr>
                <w:rStyle w:val="57"/>
                <w:rFonts w:hint="eastAsia" w:ascii="宋体" w:hAnsi="宋体" w:eastAsia="宋体" w:cs="宋体"/>
                <w:b/>
                <w:bCs/>
                <w:color w:val="auto"/>
                <w:szCs w:val="21"/>
              </w:rPr>
              <w:t>时</w:t>
            </w:r>
            <w:r>
              <w:rPr>
                <w:rStyle w:val="57"/>
                <w:rFonts w:hint="eastAsia" w:ascii="宋体" w:hAnsi="宋体" w:cs="宋体"/>
                <w:b/>
                <w:bCs/>
                <w:color w:val="auto"/>
                <w:szCs w:val="21"/>
                <w:lang w:val="en-US" w:eastAsia="zh-CN"/>
              </w:rPr>
              <w:t>3</w:t>
            </w:r>
            <w:r>
              <w:rPr>
                <w:rStyle w:val="57"/>
                <w:rFonts w:hint="eastAsia" w:ascii="宋体" w:hAnsi="宋体" w:eastAsia="宋体" w:cs="宋体"/>
                <w:b/>
                <w:bCs/>
                <w:color w:val="auto"/>
                <w:szCs w:val="21"/>
                <w:lang w:val="en-US" w:eastAsia="zh-CN"/>
              </w:rPr>
              <w:t>0</w:t>
            </w:r>
            <w:r>
              <w:rPr>
                <w:rStyle w:val="57"/>
                <w:rFonts w:hint="eastAsia" w:ascii="宋体" w:hAnsi="宋体" w:eastAsia="宋体" w:cs="宋体"/>
                <w:b/>
                <w:bCs/>
                <w:color w:val="auto"/>
                <w:szCs w:val="21"/>
              </w:rPr>
              <w:t>分内将投标文件的密码（投标单位名称+密码）发送至</w:t>
            </w:r>
            <w:r>
              <w:rPr>
                <w:rStyle w:val="57"/>
                <w:rFonts w:hint="eastAsia" w:ascii="宋体" w:hAnsi="宋体" w:cs="宋体"/>
                <w:b/>
                <w:bCs/>
                <w:color w:val="auto"/>
                <w:szCs w:val="21"/>
                <w:lang w:eastAsia="zh-CN"/>
              </w:rPr>
              <w:t>czsctzx@163.com</w:t>
            </w:r>
            <w:r>
              <w:rPr>
                <w:rStyle w:val="57"/>
                <w:rFonts w:hint="eastAsia" w:ascii="宋体" w:hAnsi="宋体" w:eastAsia="宋体" w:cs="宋体"/>
                <w:b/>
                <w:bCs/>
                <w:color w:val="auto"/>
                <w:szCs w:val="21"/>
              </w:rPr>
              <w:t>（滁州市城投工程咨询管理有限公司邮箱）。未在规定时间内发送密码的，投标将被拒绝。</w:t>
            </w:r>
            <w:r>
              <w:rPr>
                <w:rStyle w:val="57"/>
                <w:rFonts w:hint="eastAsia" w:ascii="宋体" w:hAnsi="宋体" w:eastAsia="宋体" w:cs="宋体"/>
                <w:b/>
                <w:bCs/>
                <w:color w:val="auto"/>
                <w:szCs w:val="21"/>
              </w:rPr>
              <w:fldChar w:fldCharType="end"/>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eastAsia="宋体" w:cs="宋体"/>
                <w:kern w:val="2"/>
                <w:highlight w:val="none"/>
                <w:lang w:val="en-US" w:eastAsia="zh-CN"/>
              </w:rPr>
            </w:pPr>
            <w:r>
              <w:rPr>
                <w:rFonts w:hint="eastAsia" w:ascii="宋体" w:hAnsi="宋体" w:cs="宋体"/>
                <w:kern w:val="2"/>
                <w:highlight w:val="none"/>
                <w:lang w:val="en-US" w:eastAsia="zh-CN"/>
              </w:rPr>
              <w:t>26</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eastAsia="宋体" w:cs="宋体"/>
                <w:color w:val="000000"/>
                <w:kern w:val="2"/>
                <w:sz w:val="21"/>
                <w:szCs w:val="21"/>
                <w:highlight w:val="none"/>
                <w:u w:color="000000"/>
                <w:lang w:val="en-US" w:eastAsia="zh-CN" w:bidi="ar"/>
              </w:rPr>
            </w:pPr>
            <w:r>
              <w:rPr>
                <w:rFonts w:hint="eastAsia" w:ascii="宋体" w:hAnsi="宋体" w:eastAsia="宋体" w:cs="宋体"/>
                <w:color w:val="000000"/>
                <w:kern w:val="2"/>
                <w:sz w:val="21"/>
                <w:szCs w:val="21"/>
                <w:highlight w:val="none"/>
                <w:u w:color="000000"/>
                <w:lang w:val="en-US" w:eastAsia="zh-CN" w:bidi="ar"/>
              </w:rPr>
              <w:t>是否允许递交备选投标方案</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left"/>
              <w:textAlignment w:val="auto"/>
              <w:rPr>
                <w:rFonts w:hint="eastAsia" w:ascii="宋体" w:hAnsi="宋体" w:eastAsia="宋体" w:cs="宋体"/>
                <w:color w:val="000000"/>
                <w:kern w:val="2"/>
                <w:sz w:val="21"/>
                <w:szCs w:val="21"/>
                <w:highlight w:val="none"/>
                <w:u w:color="000000"/>
                <w:lang w:val="en-US" w:eastAsia="zh-CN" w:bidi="ar"/>
              </w:rPr>
            </w:pPr>
            <w:r>
              <w:rPr>
                <w:rFonts w:hint="eastAsia" w:ascii="宋体" w:hAnsi="宋体" w:eastAsia="宋体" w:cs="宋体"/>
                <w:color w:val="000000"/>
                <w:kern w:val="2"/>
                <w:sz w:val="21"/>
                <w:szCs w:val="21"/>
                <w:highlight w:val="none"/>
                <w:u w:color="000000"/>
                <w:lang w:val="en-US" w:eastAsia="zh-CN" w:bidi="ar"/>
              </w:rPr>
              <w:t>☑不允许；</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left"/>
              <w:textAlignment w:val="auto"/>
              <w:rPr>
                <w:rFonts w:hint="eastAsia" w:ascii="宋体" w:hAnsi="宋体" w:eastAsia="宋体" w:cs="宋体"/>
                <w:color w:val="000000"/>
                <w:kern w:val="2"/>
                <w:sz w:val="21"/>
                <w:szCs w:val="21"/>
                <w:highlight w:val="none"/>
                <w:u w:color="000000"/>
                <w:lang w:val="en-US" w:eastAsia="zh-CN" w:bidi="ar"/>
              </w:rPr>
            </w:pPr>
            <w:r>
              <w:rPr>
                <w:rFonts w:hint="eastAsia" w:ascii="宋体" w:hAnsi="宋体" w:eastAsia="宋体" w:cs="宋体"/>
                <w:color w:val="000000"/>
                <w:kern w:val="2"/>
                <w:sz w:val="21"/>
                <w:szCs w:val="21"/>
                <w:highlight w:val="none"/>
                <w:u w:color="000000"/>
                <w:lang w:val="en-US" w:eastAsia="zh-CN" w:bidi="ar"/>
              </w:rPr>
              <w:t>□允许：/</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cs="宋体"/>
                <w:szCs w:val="21"/>
                <w:highlight w:val="none"/>
                <w:lang w:val="en-US"/>
              </w:rPr>
            </w:pPr>
            <w:r>
              <w:rPr>
                <w:rFonts w:hint="eastAsia" w:ascii="宋体" w:hAnsi="宋体" w:eastAsia="宋体" w:cs="宋体"/>
                <w:kern w:val="2"/>
                <w:highlight w:val="none"/>
                <w:lang w:val="en-US" w:eastAsia="zh-CN"/>
              </w:rPr>
              <w:t>2</w:t>
            </w:r>
            <w:r>
              <w:rPr>
                <w:rFonts w:hint="eastAsia" w:ascii="宋体" w:hAnsi="宋体" w:cs="宋体"/>
                <w:kern w:val="2"/>
                <w:highlight w:val="none"/>
                <w:lang w:val="en-US" w:eastAsia="zh-CN"/>
              </w:rPr>
              <w:t>7</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szCs w:val="21"/>
                <w:highlight w:val="none"/>
              </w:rPr>
            </w:pPr>
            <w:r>
              <w:rPr>
                <w:rFonts w:hint="eastAsia" w:ascii="宋体" w:hAnsi="宋体" w:eastAsia="宋体" w:cs="宋体"/>
                <w:color w:val="000000"/>
                <w:kern w:val="2"/>
                <w:sz w:val="21"/>
                <w:szCs w:val="21"/>
                <w:highlight w:val="none"/>
                <w:u w:color="000000"/>
                <w:lang w:val="en-US" w:eastAsia="zh-CN" w:bidi="ar"/>
              </w:rPr>
              <w:t>是否退还投标文件</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2"/>
                <w:sz w:val="21"/>
                <w:szCs w:val="21"/>
                <w:highlight w:val="none"/>
                <w:u w:color="000000"/>
                <w:lang w:val="en-US" w:eastAsia="zh-CN" w:bidi="ar"/>
              </w:rPr>
              <w:t>否</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szCs w:val="21"/>
                <w:highlight w:val="none"/>
              </w:rPr>
            </w:pPr>
            <w:r>
              <w:rPr>
                <w:rFonts w:hint="eastAsia" w:ascii="宋体" w:hAnsi="宋体" w:eastAsia="宋体" w:cs="宋体"/>
                <w:kern w:val="2"/>
                <w:highlight w:val="none"/>
                <w:lang w:val="en-US" w:eastAsia="zh-CN"/>
              </w:rPr>
              <w:t>2</w:t>
            </w:r>
            <w:r>
              <w:rPr>
                <w:rFonts w:hint="eastAsia" w:ascii="宋体" w:hAnsi="宋体" w:cs="宋体"/>
                <w:kern w:val="2"/>
                <w:highlight w:val="none"/>
                <w:lang w:val="en-US" w:eastAsia="zh-CN"/>
              </w:rPr>
              <w:t>8</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szCs w:val="21"/>
                <w:highlight w:val="none"/>
              </w:rPr>
            </w:pPr>
            <w:r>
              <w:rPr>
                <w:rFonts w:hint="eastAsia" w:ascii="宋体" w:hAnsi="宋体" w:eastAsia="宋体" w:cs="宋体"/>
                <w:color w:val="000000"/>
                <w:kern w:val="2"/>
                <w:sz w:val="21"/>
                <w:szCs w:val="21"/>
                <w:highlight w:val="none"/>
                <w:u w:color="000000"/>
                <w:lang w:val="en-US" w:eastAsia="zh-CN" w:bidi="ar"/>
              </w:rPr>
              <w:t>开标时间及地点</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both"/>
              <w:textAlignment w:val="auto"/>
              <w:rPr>
                <w:rFonts w:hint="eastAsia" w:ascii="宋体" w:hAnsi="宋体" w:eastAsia="宋体" w:cs="宋体"/>
                <w:color w:val="000000"/>
                <w:kern w:val="2"/>
                <w:sz w:val="21"/>
                <w:szCs w:val="21"/>
                <w:highlight w:val="none"/>
                <w:u w:color="000000"/>
                <w:lang w:val="en-US" w:eastAsia="zh-CN" w:bidi="ar"/>
              </w:rPr>
            </w:pPr>
            <w:r>
              <w:rPr>
                <w:rFonts w:hint="eastAsia" w:ascii="宋体" w:hAnsi="宋体" w:eastAsia="宋体" w:cs="宋体"/>
                <w:color w:val="000000"/>
                <w:kern w:val="2"/>
                <w:sz w:val="21"/>
                <w:szCs w:val="21"/>
                <w:highlight w:val="none"/>
                <w:u w:color="000000"/>
                <w:lang w:val="en-US" w:eastAsia="zh-CN" w:bidi="ar"/>
              </w:rPr>
              <w:t>开标时间：202</w:t>
            </w:r>
            <w:r>
              <w:rPr>
                <w:rFonts w:hint="eastAsia" w:ascii="宋体" w:hAnsi="宋体" w:cs="宋体"/>
                <w:color w:val="000000"/>
                <w:kern w:val="2"/>
                <w:sz w:val="21"/>
                <w:szCs w:val="21"/>
                <w:highlight w:val="none"/>
                <w:u w:color="000000"/>
                <w:lang w:val="en-US" w:eastAsia="zh-CN" w:bidi="ar"/>
              </w:rPr>
              <w:t>4</w:t>
            </w:r>
            <w:r>
              <w:rPr>
                <w:rFonts w:hint="eastAsia" w:ascii="宋体" w:hAnsi="宋体" w:eastAsia="宋体" w:cs="宋体"/>
                <w:color w:val="000000"/>
                <w:kern w:val="2"/>
                <w:sz w:val="21"/>
                <w:szCs w:val="21"/>
                <w:highlight w:val="none"/>
                <w:u w:color="000000"/>
                <w:lang w:val="en-US" w:eastAsia="zh-CN" w:bidi="ar"/>
              </w:rPr>
              <w:t>年</w:t>
            </w:r>
            <w:r>
              <w:rPr>
                <w:rFonts w:hint="eastAsia" w:ascii="宋体" w:hAnsi="宋体" w:cs="宋体"/>
                <w:color w:val="000000"/>
                <w:kern w:val="2"/>
                <w:sz w:val="21"/>
                <w:szCs w:val="21"/>
                <w:highlight w:val="none"/>
                <w:u w:color="000000"/>
                <w:lang w:val="en-US" w:eastAsia="zh-CN" w:bidi="ar"/>
              </w:rPr>
              <w:t>12</w:t>
            </w:r>
            <w:r>
              <w:rPr>
                <w:rFonts w:hint="eastAsia" w:ascii="宋体" w:hAnsi="宋体" w:eastAsia="宋体" w:cs="宋体"/>
                <w:color w:val="000000"/>
                <w:kern w:val="2"/>
                <w:sz w:val="21"/>
                <w:szCs w:val="21"/>
                <w:highlight w:val="none"/>
                <w:u w:color="000000"/>
                <w:lang w:val="en-US" w:eastAsia="zh-CN" w:bidi="ar"/>
              </w:rPr>
              <w:t>月</w:t>
            </w:r>
            <w:r>
              <w:rPr>
                <w:rFonts w:hint="eastAsia" w:ascii="宋体" w:hAnsi="宋体" w:cs="宋体"/>
                <w:color w:val="000000"/>
                <w:kern w:val="2"/>
                <w:sz w:val="21"/>
                <w:szCs w:val="21"/>
                <w:highlight w:val="none"/>
                <w:u w:color="000000"/>
                <w:lang w:val="en-US" w:eastAsia="zh-CN" w:bidi="ar"/>
              </w:rPr>
              <w:t>31</w:t>
            </w:r>
            <w:r>
              <w:rPr>
                <w:rFonts w:hint="eastAsia" w:ascii="宋体" w:hAnsi="宋体" w:eastAsia="宋体" w:cs="宋体"/>
                <w:color w:val="000000"/>
                <w:kern w:val="2"/>
                <w:sz w:val="21"/>
                <w:szCs w:val="21"/>
                <w:highlight w:val="none"/>
                <w:u w:color="000000"/>
                <w:lang w:val="en-US" w:eastAsia="zh-CN" w:bidi="ar"/>
              </w:rPr>
              <w:t>日</w:t>
            </w:r>
            <w:r>
              <w:rPr>
                <w:rFonts w:hint="eastAsia" w:ascii="宋体" w:hAnsi="宋体" w:cs="宋体"/>
                <w:color w:val="000000"/>
                <w:kern w:val="2"/>
                <w:sz w:val="21"/>
                <w:szCs w:val="21"/>
                <w:highlight w:val="none"/>
                <w:u w:color="000000"/>
                <w:lang w:val="en-US" w:eastAsia="zh-CN" w:bidi="ar"/>
              </w:rPr>
              <w:t>9</w:t>
            </w:r>
            <w:r>
              <w:rPr>
                <w:rFonts w:hint="eastAsia" w:ascii="宋体" w:hAnsi="宋体" w:eastAsia="宋体" w:cs="宋体"/>
                <w:color w:val="000000"/>
                <w:kern w:val="2"/>
                <w:sz w:val="21"/>
                <w:szCs w:val="21"/>
                <w:highlight w:val="none"/>
                <w:u w:color="000000"/>
                <w:lang w:val="en-US" w:eastAsia="zh-CN" w:bidi="ar"/>
              </w:rPr>
              <w:t>时</w:t>
            </w:r>
            <w:r>
              <w:rPr>
                <w:rFonts w:hint="eastAsia" w:ascii="宋体" w:hAnsi="宋体" w:cs="宋体"/>
                <w:color w:val="000000"/>
                <w:kern w:val="2"/>
                <w:sz w:val="21"/>
                <w:szCs w:val="21"/>
                <w:highlight w:val="none"/>
                <w:u w:color="000000"/>
                <w:lang w:val="en-US" w:eastAsia="zh-CN" w:bidi="ar"/>
              </w:rPr>
              <w:t>0</w:t>
            </w:r>
            <w:r>
              <w:rPr>
                <w:rFonts w:hint="eastAsia" w:ascii="宋体" w:hAnsi="宋体" w:eastAsia="宋体" w:cs="宋体"/>
                <w:color w:val="000000"/>
                <w:kern w:val="2"/>
                <w:sz w:val="21"/>
                <w:szCs w:val="21"/>
                <w:highlight w:val="none"/>
                <w:u w:color="000000"/>
                <w:lang w:val="en-US" w:eastAsia="zh-CN" w:bidi="ar"/>
              </w:rPr>
              <w:t>0分（北京时间）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kern w:val="2"/>
                <w:sz w:val="21"/>
                <w:szCs w:val="21"/>
                <w:highlight w:val="none"/>
                <w:u w:color="000000"/>
                <w:lang w:val="en-US" w:eastAsia="zh-CN" w:bidi="ar"/>
              </w:rPr>
              <w:t>开标地点：滁州市滁宁城际铁路开发建设有限公司七楼会议室 (滁州市徽州路与扬子路交叉口东南侧)</w:t>
            </w:r>
          </w:p>
        </w:tc>
      </w:tr>
      <w:tr>
        <w:tblPrEx>
          <w:tblCellMar>
            <w:top w:w="0" w:type="dxa"/>
            <w:left w:w="108" w:type="dxa"/>
            <w:bottom w:w="0" w:type="dxa"/>
            <w:right w:w="108" w:type="dxa"/>
          </w:tblCellMar>
        </w:tblPrEx>
        <w:trPr>
          <w:trHeight w:val="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default" w:ascii="宋体" w:hAnsi="宋体" w:cs="宋体"/>
                <w:szCs w:val="21"/>
                <w:highlight w:val="none"/>
                <w:lang w:val="en-US"/>
              </w:rPr>
            </w:pPr>
            <w:r>
              <w:rPr>
                <w:rFonts w:hint="eastAsia" w:ascii="宋体" w:hAnsi="宋体" w:cs="宋体"/>
                <w:kern w:val="2"/>
                <w:highlight w:val="none"/>
                <w:lang w:val="en-US" w:eastAsia="zh-CN"/>
              </w:rPr>
              <w:t>29</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center"/>
              <w:textAlignment w:val="auto"/>
              <w:rPr>
                <w:rFonts w:hint="eastAsia" w:ascii="宋体" w:hAnsi="宋体" w:cs="宋体"/>
                <w:szCs w:val="21"/>
                <w:highlight w:val="none"/>
              </w:rPr>
            </w:pPr>
            <w:r>
              <w:rPr>
                <w:rFonts w:hint="eastAsia" w:ascii="宋体" w:hAnsi="宋体" w:eastAsia="宋体" w:cs="宋体"/>
                <w:color w:val="000000"/>
                <w:kern w:val="2"/>
                <w:sz w:val="21"/>
                <w:szCs w:val="21"/>
                <w:highlight w:val="none"/>
                <w:u w:color="000000"/>
                <w:lang w:val="en-US" w:eastAsia="zh-CN" w:bidi="ar"/>
              </w:rPr>
              <w:t>开标程序</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leftChars="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由代理机构开启电子投标文件，报评标委员会评审。</w:t>
            </w:r>
          </w:p>
        </w:tc>
      </w:tr>
      <w:tr>
        <w:tblPrEx>
          <w:tblCellMar>
            <w:top w:w="0" w:type="dxa"/>
            <w:left w:w="108" w:type="dxa"/>
            <w:bottom w:w="0" w:type="dxa"/>
            <w:right w:w="108" w:type="dxa"/>
          </w:tblCellMar>
        </w:tblPrEx>
        <w:trPr>
          <w:trHeight w:val="488"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30</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评标委员会的组建</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E/>
              <w:autoSpaceDN/>
              <w:bidi w:val="0"/>
              <w:spacing w:line="440" w:lineRule="exact"/>
              <w:textAlignment w:val="auto"/>
              <w:rPr>
                <w:rFonts w:ascii="宋体" w:hAnsi="宋体" w:cs="宋体"/>
                <w:szCs w:val="21"/>
                <w:highlight w:val="none"/>
              </w:rPr>
            </w:pPr>
            <w:r>
              <w:rPr>
                <w:rFonts w:hint="eastAsia" w:ascii="宋体" w:hAnsi="宋体" w:eastAsia="宋体" w:cs="宋体"/>
                <w:color w:val="000000"/>
                <w:kern w:val="2"/>
                <w:sz w:val="21"/>
                <w:szCs w:val="21"/>
                <w:highlight w:val="none"/>
                <w:u w:color="000000"/>
                <w:lang w:val="en-US" w:eastAsia="zh-CN" w:bidi="ar"/>
              </w:rPr>
              <w:t>评标委员会由招标人依法组建。</w:t>
            </w:r>
          </w:p>
        </w:tc>
      </w:tr>
      <w:tr>
        <w:tblPrEx>
          <w:tblCellMar>
            <w:top w:w="0" w:type="dxa"/>
            <w:left w:w="108" w:type="dxa"/>
            <w:bottom w:w="0" w:type="dxa"/>
            <w:right w:w="108" w:type="dxa"/>
          </w:tblCellMar>
        </w:tblPrEx>
        <w:trPr>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b/>
                <w:bCs/>
                <w:szCs w:val="21"/>
                <w:highlight w:val="none"/>
                <w:lang w:val="en-US" w:eastAsia="zh-CN"/>
              </w:rPr>
            </w:pPr>
            <w:r>
              <w:rPr>
                <w:rFonts w:hint="eastAsia" w:ascii="宋体" w:hAnsi="宋体" w:cs="宋体"/>
                <w:szCs w:val="21"/>
                <w:highlight w:val="none"/>
                <w:lang w:val="en-US" w:eastAsia="zh-CN"/>
              </w:rPr>
              <w:t>31</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jc w:val="center"/>
              <w:textAlignment w:val="auto"/>
              <w:rPr>
                <w:rFonts w:ascii="宋体" w:hAnsi="宋体" w:cs="宋体"/>
                <w:bCs/>
                <w:color w:val="auto"/>
                <w:szCs w:val="21"/>
                <w:highlight w:val="none"/>
              </w:rPr>
            </w:pPr>
            <w:r>
              <w:rPr>
                <w:rFonts w:hint="eastAsia" w:ascii="宋体" w:hAnsi="宋体" w:eastAsia="宋体" w:cs="宋体"/>
                <w:b w:val="0"/>
                <w:bCs w:val="0"/>
                <w:color w:val="auto"/>
                <w:sz w:val="21"/>
                <w:szCs w:val="21"/>
                <w:highlight w:val="none"/>
              </w:rPr>
              <w:t>评标委员会确定中标候选人的人数</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ascii="宋体" w:hAnsi="宋体" w:cs="宋体"/>
                <w:bCs/>
                <w:color w:val="auto"/>
                <w:szCs w:val="21"/>
                <w:highlight w:val="none"/>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名，并标明排序。</w:t>
            </w:r>
          </w:p>
        </w:tc>
      </w:tr>
      <w:tr>
        <w:tblPrEx>
          <w:tblCellMar>
            <w:top w:w="0" w:type="dxa"/>
            <w:left w:w="108" w:type="dxa"/>
            <w:bottom w:w="0" w:type="dxa"/>
            <w:right w:w="108" w:type="dxa"/>
          </w:tblCellMar>
        </w:tblPrEx>
        <w:trPr>
          <w:trHeight w:val="500" w:hRule="atLeast"/>
          <w:jc w:val="center"/>
        </w:trPr>
        <w:tc>
          <w:tcPr>
            <w:tcW w:w="868" w:type="dxa"/>
            <w:tcBorders>
              <w:top w:val="single" w:color="auto" w:sz="4" w:space="0"/>
              <w:left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32</w:t>
            </w:r>
          </w:p>
        </w:tc>
        <w:tc>
          <w:tcPr>
            <w:tcW w:w="2209" w:type="dxa"/>
            <w:gridSpan w:val="2"/>
            <w:tcBorders>
              <w:top w:val="single" w:color="auto" w:sz="4" w:space="0"/>
              <w:left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中标候选人公示媒介</w:t>
            </w:r>
          </w:p>
        </w:tc>
        <w:tc>
          <w:tcPr>
            <w:tcW w:w="7251" w:type="dxa"/>
            <w:tcBorders>
              <w:top w:val="single" w:color="auto" w:sz="4" w:space="0"/>
              <w:left w:val="single" w:color="auto" w:sz="4" w:space="0"/>
              <w:right w:val="single" w:color="auto" w:sz="4" w:space="0"/>
            </w:tcBorders>
            <w:noWrap/>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公示媒介：同招标公告发布媒介</w:t>
            </w:r>
          </w:p>
          <w:p>
            <w:pPr>
              <w:keepNext w:val="0"/>
              <w:keepLines w:val="0"/>
              <w:pageBreakBefore w:val="0"/>
              <w:kinsoku/>
              <w:wordWrap/>
              <w:overflowPunct/>
              <w:autoSpaceDE/>
              <w:autoSpaceDN/>
              <w:bidi w:val="0"/>
              <w:spacing w:line="440" w:lineRule="exact"/>
              <w:textAlignment w:val="auto"/>
              <w:rPr>
                <w:rFonts w:ascii="宋体" w:hAnsi="宋体" w:cs="宋体"/>
                <w:szCs w:val="21"/>
                <w:highlight w:val="none"/>
              </w:rPr>
            </w:pPr>
            <w:r>
              <w:rPr>
                <w:rFonts w:hint="eastAsia" w:ascii="宋体" w:hAnsi="宋体" w:eastAsia="宋体" w:cs="宋体"/>
                <w:b w:val="0"/>
                <w:bCs w:val="0"/>
                <w:color w:val="auto"/>
                <w:sz w:val="21"/>
                <w:szCs w:val="21"/>
                <w:highlight w:val="none"/>
              </w:rPr>
              <w:t>公示期限：公示发布次日起3日（如公示第三日为休息日或节假日，则顺延至休息日或节假日后第一个工作日）</w:t>
            </w:r>
          </w:p>
        </w:tc>
      </w:tr>
      <w:tr>
        <w:tblPrEx>
          <w:tblCellMar>
            <w:top w:w="0" w:type="dxa"/>
            <w:left w:w="108" w:type="dxa"/>
            <w:bottom w:w="0" w:type="dxa"/>
            <w:right w:w="108" w:type="dxa"/>
          </w:tblCellMar>
        </w:tblPrEx>
        <w:trPr>
          <w:trHeight w:val="500" w:hRule="atLeast"/>
          <w:jc w:val="center"/>
        </w:trPr>
        <w:tc>
          <w:tcPr>
            <w:tcW w:w="868" w:type="dxa"/>
            <w:tcBorders>
              <w:top w:val="single" w:color="auto" w:sz="4" w:space="0"/>
              <w:left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33</w:t>
            </w:r>
          </w:p>
        </w:tc>
        <w:tc>
          <w:tcPr>
            <w:tcW w:w="2209" w:type="dxa"/>
            <w:gridSpan w:val="2"/>
            <w:tcBorders>
              <w:top w:val="single" w:color="auto" w:sz="4" w:space="0"/>
              <w:left w:val="single" w:color="auto" w:sz="4" w:space="0"/>
              <w:right w:val="single" w:color="auto" w:sz="4" w:space="0"/>
            </w:tcBorders>
            <w:noWrap/>
            <w:vAlign w:val="center"/>
          </w:tcPr>
          <w:p>
            <w:pPr>
              <w:keepNext w:val="0"/>
              <w:keepLines w:val="0"/>
              <w:pageBreakBefore w:val="0"/>
              <w:kinsoku/>
              <w:wordWrap/>
              <w:overflowPunct/>
              <w:autoSpaceDE/>
              <w:autoSpaceDN/>
              <w:bidi w:val="0"/>
              <w:adjustRightInd w:val="0"/>
              <w:snapToGrid w:val="0"/>
              <w:spacing w:line="440" w:lineRule="exact"/>
              <w:textAlignment w:val="auto"/>
              <w:rPr>
                <w:rFonts w:hint="eastAsia" w:ascii="宋体" w:hAnsi="宋体" w:eastAsia="宋体" w:cs="宋体"/>
                <w:color w:val="000000"/>
                <w:kern w:val="2"/>
                <w:sz w:val="21"/>
                <w:szCs w:val="21"/>
                <w:highlight w:val="none"/>
                <w:lang w:val="en-US" w:eastAsia="zh-CN" w:bidi="ar-SA"/>
              </w:rPr>
            </w:pPr>
            <w:r>
              <w:rPr>
                <w:rFonts w:hint="eastAsia"/>
                <w:sz w:val="21"/>
                <w:szCs w:val="21"/>
                <w:highlight w:val="none"/>
              </w:rPr>
              <w:t>中标通知书发出形式</w:t>
            </w:r>
          </w:p>
        </w:tc>
        <w:tc>
          <w:tcPr>
            <w:tcW w:w="7251" w:type="dxa"/>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autoSpaceDE/>
              <w:autoSpaceDN/>
              <w:bidi w:val="0"/>
              <w:adjustRightInd w:val="0"/>
              <w:snapToGrid w:val="0"/>
              <w:spacing w:line="440" w:lineRule="exact"/>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u w:color="000000"/>
                <w:lang w:val="en-US" w:eastAsia="zh-CN" w:bidi="ar"/>
              </w:rPr>
              <w:t>中标通知书须加盖招标人、招标代理公司公章后方可发出。</w:t>
            </w:r>
          </w:p>
        </w:tc>
      </w:tr>
      <w:tr>
        <w:tblPrEx>
          <w:tblCellMar>
            <w:top w:w="0" w:type="dxa"/>
            <w:left w:w="108" w:type="dxa"/>
            <w:bottom w:w="0" w:type="dxa"/>
            <w:right w:w="108" w:type="dxa"/>
          </w:tblCellMar>
        </w:tblPrEx>
        <w:trPr>
          <w:trHeight w:val="97"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34</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履约担保</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是否收取履约担保：</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收取，</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 xml:space="preserve">不收取 </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 xml:space="preserve">形式：☑银行转账 </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银行保函（见索即付无条件保函）</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担保保函☑商业保险</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rPr>
              <w:t>☑第三方担保（无条件担保）</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金额：中标合同金额×</w:t>
            </w:r>
            <w:r>
              <w:rPr>
                <w:rFonts w:hint="eastAsia" w:ascii="Times New Roman" w:hAnsi="Times New Roman" w:eastAsia="宋体" w:cs="Times New Roman"/>
                <w:highlight w:val="none"/>
                <w:lang w:val="en-US" w:eastAsia="zh-CN"/>
              </w:rPr>
              <w:t>10</w:t>
            </w:r>
            <w:r>
              <w:rPr>
                <w:rFonts w:hint="eastAsia" w:ascii="Times New Roman" w:hAnsi="Times New Roman" w:eastAsia="宋体" w:cs="Times New Roman"/>
                <w:highlight w:val="none"/>
              </w:rPr>
              <w:t>%，取整到千位；</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 xml:space="preserve">收款单位：另行通知        </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 xml:space="preserve">开户银行：另行通知 </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银行帐号：另行通知</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rPr>
              <w:t>缴纳时限：</w:t>
            </w:r>
            <w:r>
              <w:rPr>
                <w:rFonts w:hint="eastAsia" w:ascii="Times New Roman" w:hAnsi="Times New Roman" w:eastAsia="宋体" w:cs="Times New Roman"/>
                <w:highlight w:val="none"/>
                <w:lang w:val="en-US" w:eastAsia="zh-CN"/>
              </w:rPr>
              <w:t>中标人须在领取中标通知书后，30个日历天内完成履约保证金缴纳和合同签订。否则，取消中标资格，投标保证金不予退还。</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退还时限：</w:t>
            </w:r>
            <w:r>
              <w:rPr>
                <w:rFonts w:hint="eastAsia" w:ascii="Times New Roman" w:hAnsi="Times New Roman" w:eastAsia="宋体" w:cs="Times New Roman"/>
                <w:highlight w:val="none"/>
                <w:lang w:val="en-US" w:eastAsia="zh-CN"/>
              </w:rPr>
              <w:t>合同履行期满7日内</w:t>
            </w:r>
            <w:r>
              <w:rPr>
                <w:rFonts w:hint="eastAsia" w:ascii="Times New Roman" w:hAnsi="Times New Roman" w:eastAsia="宋体" w:cs="Times New Roman"/>
                <w:highlight w:val="none"/>
              </w:rPr>
              <w:t>。</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采用银行保函的具体要求：①保函形式须为见索即付型（无条件保函）；②须从中标人基本账户办理，或者从基本账户在滁州具有分支机构的银行出具；③须有保函编号；④须加盖银行公章而非银行业务专用章；⑤须按照银行格式规范填写。</w:t>
            </w:r>
          </w:p>
          <w:p>
            <w:pPr>
              <w:keepNext w:val="0"/>
              <w:keepLines w:val="0"/>
              <w:pageBreakBefore w:val="0"/>
              <w:widowControl w:val="0"/>
              <w:tabs>
                <w:tab w:val="left" w:pos="5034"/>
              </w:tabs>
              <w:kinsoku/>
              <w:wordWrap/>
              <w:overflowPunct/>
              <w:topLinePunct w:val="0"/>
              <w:autoSpaceDE/>
              <w:autoSpaceDN/>
              <w:bidi w:val="0"/>
              <w:adjustRightInd/>
              <w:snapToGrid/>
              <w:spacing w:line="420" w:lineRule="exact"/>
              <w:jc w:val="both"/>
              <w:textAlignment w:val="auto"/>
              <w:rPr>
                <w:rFonts w:ascii="宋体" w:hAnsi="宋体" w:cs="宋体"/>
                <w:color w:val="auto"/>
                <w:szCs w:val="21"/>
                <w:highlight w:val="none"/>
              </w:rPr>
            </w:pPr>
            <w:r>
              <w:rPr>
                <w:rFonts w:hint="eastAsia" w:ascii="Times New Roman" w:hAnsi="Times New Roman" w:eastAsia="宋体" w:cs="Times New Roman"/>
                <w:highlight w:val="none"/>
                <w:lang w:val="en-US" w:eastAsia="zh-CN"/>
              </w:rPr>
              <w:t>采用担保保函、商业保险、第三方担保具体要求：须在本地的（滁州市）保险（或担保）公司或在本地（滁州市）的分支机构的保险公司（或担保公司）开具。保函或保险格式须经招标人认可。</w:t>
            </w:r>
            <w:r>
              <w:rPr>
                <w:rFonts w:hint="eastAsia" w:ascii="宋体" w:hAnsi="宋体" w:cs="宋体"/>
                <w:color w:val="auto"/>
                <w:szCs w:val="21"/>
                <w:highlight w:val="none"/>
              </w:rPr>
              <w:t> </w:t>
            </w:r>
          </w:p>
        </w:tc>
      </w:tr>
      <w:tr>
        <w:tblPrEx>
          <w:tblCellMar>
            <w:top w:w="0" w:type="dxa"/>
            <w:left w:w="108" w:type="dxa"/>
            <w:bottom w:w="0" w:type="dxa"/>
            <w:right w:w="108" w:type="dxa"/>
          </w:tblCellMar>
        </w:tblPrEx>
        <w:trPr>
          <w:trHeight w:val="90" w:hRule="atLeast"/>
          <w:jc w:val="center"/>
        </w:trPr>
        <w:tc>
          <w:tcPr>
            <w:tcW w:w="86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w:t>
            </w:r>
          </w:p>
        </w:tc>
        <w:tc>
          <w:tcPr>
            <w:tcW w:w="2209"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ascii="宋体" w:hAnsi="宋体" w:cs="宋体"/>
                <w:color w:val="auto"/>
                <w:szCs w:val="21"/>
                <w:highlight w:val="none"/>
              </w:rPr>
            </w:pPr>
            <w:r>
              <w:rPr>
                <w:rFonts w:hint="eastAsia" w:ascii="宋体" w:hAnsi="宋体" w:eastAsia="宋体" w:cs="宋体"/>
                <w:b/>
                <w:bCs/>
                <w:color w:val="auto"/>
                <w:sz w:val="21"/>
                <w:szCs w:val="21"/>
                <w:highlight w:val="none"/>
              </w:rPr>
              <w:t>付款方式</w:t>
            </w:r>
          </w:p>
        </w:tc>
        <w:tc>
          <w:tcPr>
            <w:tcW w:w="725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440" w:lineRule="exact"/>
              <w:textAlignment w:val="auto"/>
              <w:rPr>
                <w:rFonts w:ascii="宋体" w:hAnsi="宋体" w:cs="宋体"/>
                <w:color w:val="auto"/>
                <w:szCs w:val="21"/>
                <w:highlight w:val="none"/>
              </w:rPr>
            </w:pPr>
            <w:r>
              <w:rPr>
                <w:rFonts w:hint="eastAsia" w:ascii="宋体" w:hAnsi="宋体" w:cs="宋体"/>
                <w:kern w:val="0"/>
                <w:szCs w:val="21"/>
                <w:highlight w:val="none"/>
                <w:lang w:val="en-US" w:eastAsia="zh-CN"/>
              </w:rPr>
              <w:t>工程完工初验合格后，付至已完合格工程量的80%进度款（初验合格后，承包人须于60日内完成竣工结算报告和结算资料上报，协审机构据此进入结算初审）；一年养护期满，死亡苗木补栽竣工验收合格，或经发包人同意不再补栽，并在结算中扣除完成结算审核或复核后，移交管养单位后一个月内付清余款支付结算尾款。绿化成活率：100%。</w:t>
            </w:r>
          </w:p>
        </w:tc>
      </w:tr>
      <w:tr>
        <w:tblPrEx>
          <w:tblCellMar>
            <w:top w:w="0" w:type="dxa"/>
            <w:left w:w="108" w:type="dxa"/>
            <w:bottom w:w="0" w:type="dxa"/>
            <w:right w:w="108" w:type="dxa"/>
          </w:tblCellMar>
        </w:tblPrEx>
        <w:trPr>
          <w:trHeight w:val="90" w:hRule="atLeast"/>
          <w:jc w:val="center"/>
        </w:trPr>
        <w:tc>
          <w:tcPr>
            <w:tcW w:w="10328"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ascii="宋体" w:hAnsi="宋体" w:cs="宋体"/>
                <w:szCs w:val="21"/>
                <w:highlight w:val="none"/>
              </w:rPr>
            </w:pPr>
            <w:r>
              <w:rPr>
                <w:rFonts w:hint="eastAsia" w:ascii="宋体" w:hAnsi="宋体" w:cs="宋体"/>
                <w:szCs w:val="21"/>
                <w:highlight w:val="none"/>
              </w:rPr>
              <w:t>需要补充的其他内容</w:t>
            </w:r>
          </w:p>
        </w:tc>
      </w:tr>
      <w:tr>
        <w:tblPrEx>
          <w:tblCellMar>
            <w:top w:w="0" w:type="dxa"/>
            <w:left w:w="108" w:type="dxa"/>
            <w:bottom w:w="0" w:type="dxa"/>
            <w:right w:w="108" w:type="dxa"/>
          </w:tblCellMar>
        </w:tblPrEx>
        <w:trPr>
          <w:jc w:val="center"/>
        </w:trPr>
        <w:tc>
          <w:tcPr>
            <w:tcW w:w="177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jc w:val="center"/>
              <w:textAlignment w:val="auto"/>
              <w:rPr>
                <w:rFonts w:ascii="宋体" w:hAnsi="宋体" w:cs="宋体"/>
                <w:szCs w:val="21"/>
                <w:highlight w:val="none"/>
              </w:rPr>
            </w:pPr>
            <w:r>
              <w:rPr>
                <w:rFonts w:hint="eastAsia" w:ascii="宋体" w:hAnsi="宋体" w:cs="宋体"/>
                <w:color w:val="auto"/>
                <w:sz w:val="21"/>
                <w:szCs w:val="21"/>
                <w:highlight w:val="none"/>
              </w:rPr>
              <w:t>招标代理服务费</w:t>
            </w:r>
          </w:p>
        </w:tc>
        <w:tc>
          <w:tcPr>
            <w:tcW w:w="855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440" w:lineRule="exact"/>
              <w:textAlignment w:val="auto"/>
              <w:rPr>
                <w:rFonts w:ascii="宋体" w:hAnsi="宋体" w:cs="宋体"/>
                <w:kern w:val="0"/>
                <w:szCs w:val="21"/>
                <w:highlight w:val="none"/>
              </w:rPr>
            </w:pPr>
            <w:r>
              <w:rPr>
                <w:rFonts w:hint="eastAsia" w:ascii="宋体" w:hAnsi="宋体" w:cs="宋体"/>
                <w:kern w:val="0"/>
                <w:szCs w:val="21"/>
                <w:highlight w:val="none"/>
              </w:rPr>
              <w:t>代理服务具体金额：</w:t>
            </w:r>
            <w:r>
              <w:rPr>
                <w:rFonts w:hint="eastAsia" w:ascii="宋体" w:hAnsi="宋体" w:cs="宋体"/>
                <w:kern w:val="0"/>
                <w:szCs w:val="21"/>
                <w:highlight w:val="none"/>
                <w:lang w:val="en-US" w:eastAsia="zh-CN"/>
              </w:rPr>
              <w:t>3000</w:t>
            </w:r>
            <w:r>
              <w:rPr>
                <w:rFonts w:hint="eastAsia" w:ascii="宋体" w:hAnsi="宋体" w:cs="宋体"/>
                <w:kern w:val="0"/>
                <w:szCs w:val="21"/>
                <w:highlight w:val="none"/>
              </w:rPr>
              <w:t>元</w:t>
            </w:r>
            <w:r>
              <w:rPr>
                <w:rFonts w:hint="eastAsia" w:ascii="宋体" w:hAnsi="宋体" w:cs="宋体"/>
                <w:bCs/>
                <w:kern w:val="0"/>
                <w:highlight w:val="none"/>
              </w:rPr>
              <w:t>。</w:t>
            </w:r>
          </w:p>
          <w:p>
            <w:pPr>
              <w:keepNext w:val="0"/>
              <w:keepLines w:val="0"/>
              <w:pageBreakBefore w:val="0"/>
              <w:kinsoku/>
              <w:wordWrap/>
              <w:overflowPunct/>
              <w:topLinePunct w:val="0"/>
              <w:autoSpaceDE/>
              <w:autoSpaceDN/>
              <w:bidi w:val="0"/>
              <w:adjustRightInd/>
              <w:snapToGrid/>
              <w:spacing w:line="440" w:lineRule="exact"/>
              <w:textAlignment w:val="auto"/>
              <w:rPr>
                <w:rFonts w:ascii="宋体" w:hAnsi="宋体" w:cs="宋体"/>
                <w:szCs w:val="21"/>
                <w:highlight w:val="none"/>
              </w:rPr>
            </w:pPr>
            <w:r>
              <w:rPr>
                <w:rFonts w:hint="eastAsia" w:ascii="宋体" w:hAnsi="宋体" w:cs="宋体"/>
                <w:kern w:val="0"/>
                <w:szCs w:val="21"/>
                <w:highlight w:val="none"/>
              </w:rPr>
              <w:t>代理服务费及专家费支付主体</w:t>
            </w:r>
            <w:r>
              <w:rPr>
                <w:rFonts w:hint="eastAsia" w:ascii="宋体" w:hAnsi="宋体" w:cs="宋体"/>
                <w:szCs w:val="21"/>
                <w:highlight w:val="none"/>
              </w:rPr>
              <w:t>：</w:t>
            </w:r>
            <w:r>
              <w:rPr>
                <w:rFonts w:hint="eastAsia" w:ascii="宋体" w:hAnsi="宋体" w:cs="宋体"/>
                <w:kern w:val="0"/>
                <w:szCs w:val="21"/>
                <w:highlight w:val="none"/>
              </w:rPr>
              <w:t>由中标单位在领取中标通知书时，一次性支付给代理机构。</w:t>
            </w:r>
          </w:p>
        </w:tc>
      </w:tr>
      <w:tr>
        <w:tblPrEx>
          <w:tblCellMar>
            <w:top w:w="0" w:type="dxa"/>
            <w:left w:w="108" w:type="dxa"/>
            <w:bottom w:w="0" w:type="dxa"/>
            <w:right w:w="108" w:type="dxa"/>
          </w:tblCellMar>
        </w:tblPrEx>
        <w:trPr>
          <w:jc w:val="center"/>
        </w:trPr>
        <w:tc>
          <w:tcPr>
            <w:tcW w:w="177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jc w:val="center"/>
              <w:textAlignment w:val="auto"/>
              <w:rPr>
                <w:rFonts w:hint="eastAsia" w:ascii="宋体" w:hAnsi="宋体" w:cs="宋体"/>
                <w:szCs w:val="21"/>
                <w:highlight w:val="none"/>
              </w:rPr>
            </w:pPr>
            <w:r>
              <w:rPr>
                <w:rFonts w:hint="eastAsia" w:ascii="宋体" w:hAnsi="宋体" w:cs="宋体"/>
                <w:color w:val="auto"/>
                <w:sz w:val="21"/>
                <w:szCs w:val="21"/>
                <w:highlight w:val="none"/>
              </w:rPr>
              <w:t>专家评审劳务费</w:t>
            </w:r>
          </w:p>
        </w:tc>
        <w:tc>
          <w:tcPr>
            <w:tcW w:w="855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adjustRightInd w:val="0"/>
              <w:snapToGrid w:val="0"/>
              <w:spacing w:line="440" w:lineRule="exac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费用或支付标准：</w:t>
            </w:r>
            <w:r>
              <w:rPr>
                <w:rFonts w:hint="eastAsia" w:ascii="宋体" w:hAnsi="宋体" w:cs="宋体"/>
                <w:color w:val="auto"/>
                <w:sz w:val="21"/>
                <w:szCs w:val="21"/>
                <w:highlight w:val="none"/>
                <w:lang w:val="en-US" w:eastAsia="zh-CN"/>
              </w:rPr>
              <w:t>以实际发生为准。</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s="宋体"/>
                <w:kern w:val="0"/>
                <w:szCs w:val="21"/>
                <w:highlight w:val="none"/>
              </w:rPr>
            </w:pPr>
            <w:r>
              <w:rPr>
                <w:rFonts w:hint="eastAsia"/>
                <w:color w:val="auto"/>
                <w:sz w:val="21"/>
                <w:szCs w:val="21"/>
                <w:highlight w:val="none"/>
              </w:rPr>
              <w:t>支付主体：</w:t>
            </w:r>
            <w:r>
              <w:rPr>
                <w:rFonts w:hint="eastAsia"/>
                <w:color w:val="auto"/>
                <w:sz w:val="21"/>
                <w:szCs w:val="21"/>
                <w:highlight w:val="none"/>
                <w:lang w:val="en-US" w:eastAsia="zh-CN"/>
              </w:rPr>
              <w:t>中标单位</w:t>
            </w:r>
          </w:p>
        </w:tc>
      </w:tr>
      <w:tr>
        <w:tblPrEx>
          <w:tblCellMar>
            <w:top w:w="0" w:type="dxa"/>
            <w:left w:w="108" w:type="dxa"/>
            <w:bottom w:w="0" w:type="dxa"/>
            <w:right w:w="108" w:type="dxa"/>
          </w:tblCellMar>
        </w:tblPrEx>
        <w:trPr>
          <w:jc w:val="center"/>
        </w:trPr>
        <w:tc>
          <w:tcPr>
            <w:tcW w:w="1778"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autoSpaceDN/>
              <w:bidi w:val="0"/>
              <w:spacing w:line="440" w:lineRule="exact"/>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855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440" w:lineRule="exact"/>
              <w:textAlignment w:val="auto"/>
              <w:rPr>
                <w:rFonts w:ascii="宋体" w:hAnsi="宋体" w:cs="宋体"/>
                <w:szCs w:val="21"/>
                <w:highlight w:val="none"/>
              </w:rPr>
            </w:pPr>
            <w:r>
              <w:rPr>
                <w:rFonts w:hint="eastAsia" w:ascii="宋体" w:hAnsi="宋体" w:cs="宋体"/>
                <w:szCs w:val="21"/>
                <w:highlight w:val="none"/>
              </w:rPr>
              <w:t>1、本招标文件前后条款若有不一致之处，在澄清答疑时又未作出明确规定时，各投标人的投标文件只要满足其中任一条款，均视为对本招标文件的响应。</w:t>
            </w:r>
          </w:p>
          <w:p>
            <w:pPr>
              <w:keepNext w:val="0"/>
              <w:keepLines w:val="0"/>
              <w:pageBreakBefore w:val="0"/>
              <w:kinsoku/>
              <w:wordWrap/>
              <w:overflowPunct/>
              <w:topLinePunct w:val="0"/>
              <w:autoSpaceDE/>
              <w:autoSpaceDN/>
              <w:bidi w:val="0"/>
              <w:adjustRightInd/>
              <w:snapToGrid/>
              <w:spacing w:line="440" w:lineRule="exact"/>
              <w:textAlignment w:val="auto"/>
              <w:rPr>
                <w:rFonts w:ascii="宋体" w:hAnsi="宋体" w:cs="宋体"/>
                <w:szCs w:val="21"/>
                <w:highlight w:val="none"/>
              </w:rPr>
            </w:pPr>
            <w:r>
              <w:rPr>
                <w:rFonts w:hint="eastAsia" w:ascii="宋体" w:hAnsi="宋体" w:cs="宋体"/>
                <w:szCs w:val="21"/>
                <w:highlight w:val="none"/>
              </w:rPr>
              <w:t>2、本项目招标公告与本招标文件不一致之处，以本招标文件为准。</w:t>
            </w:r>
          </w:p>
          <w:p>
            <w:pPr>
              <w:keepNext w:val="0"/>
              <w:keepLines w:val="0"/>
              <w:pageBreakBefore w:val="0"/>
              <w:kinsoku/>
              <w:wordWrap/>
              <w:overflowPunct/>
              <w:topLinePunct w:val="0"/>
              <w:autoSpaceDE/>
              <w:autoSpaceDN/>
              <w:bidi w:val="0"/>
              <w:adjustRightInd/>
              <w:snapToGrid/>
              <w:spacing w:line="440" w:lineRule="exact"/>
              <w:textAlignment w:val="auto"/>
              <w:rPr>
                <w:rFonts w:ascii="宋体" w:hAnsi="宋体" w:cs="宋体"/>
                <w:szCs w:val="21"/>
                <w:highlight w:val="none"/>
              </w:rPr>
            </w:pPr>
            <w:r>
              <w:rPr>
                <w:rFonts w:hint="eastAsia" w:ascii="宋体" w:hAnsi="宋体" w:cs="宋体"/>
                <w:szCs w:val="21"/>
                <w:highlight w:val="none"/>
              </w:rPr>
              <w:t>3、本项目严禁非法转包，一经发现，招标人依法处理。</w:t>
            </w:r>
          </w:p>
          <w:p>
            <w:pPr>
              <w:keepNext w:val="0"/>
              <w:keepLines w:val="0"/>
              <w:pageBreakBefore w:val="0"/>
              <w:kinsoku/>
              <w:wordWrap/>
              <w:overflowPunct/>
              <w:topLinePunct w:val="0"/>
              <w:autoSpaceDE/>
              <w:autoSpaceDN/>
              <w:bidi w:val="0"/>
              <w:adjustRightInd/>
              <w:snapToGrid/>
              <w:spacing w:line="440" w:lineRule="exact"/>
              <w:textAlignment w:val="auto"/>
              <w:rPr>
                <w:rFonts w:ascii="宋体" w:hAnsi="宋体" w:cs="宋体"/>
                <w:strike/>
                <w:szCs w:val="21"/>
                <w:highlight w:val="none"/>
              </w:rPr>
            </w:pPr>
            <w:r>
              <w:rPr>
                <w:rFonts w:hint="eastAsia" w:ascii="宋体" w:hAnsi="宋体" w:cs="宋体"/>
                <w:szCs w:val="21"/>
                <w:highlight w:val="none"/>
                <w:lang w:val="en-US" w:eastAsia="zh-CN"/>
              </w:rPr>
              <w:t>4</w:t>
            </w:r>
            <w:r>
              <w:rPr>
                <w:rFonts w:hint="eastAsia" w:ascii="宋体" w:hAnsi="宋体" w:cs="宋体"/>
                <w:szCs w:val="21"/>
                <w:highlight w:val="none"/>
              </w:rPr>
              <w:t>、本文件的最终解释权归招标人、招标代理机构所有。</w:t>
            </w:r>
          </w:p>
        </w:tc>
      </w:tr>
    </w:tbl>
    <w:p>
      <w:pPr>
        <w:rPr>
          <w:rFonts w:hint="eastAsia" w:ascii="宋体" w:hAnsi="宋体" w:eastAsia="宋体" w:cs="宋体"/>
          <w:sz w:val="24"/>
          <w:szCs w:val="24"/>
          <w:highlight w:val="none"/>
        </w:rPr>
      </w:pPr>
      <w:bookmarkStart w:id="53" w:name="_Toc35425053"/>
      <w:bookmarkStart w:id="54" w:name="_Toc35424887"/>
      <w:bookmarkStart w:id="55" w:name="_Toc15058846"/>
      <w:bookmarkStart w:id="56" w:name="_Toc5813"/>
      <w:bookmarkStart w:id="57" w:name="_Toc78803322"/>
      <w:r>
        <w:rPr>
          <w:rFonts w:hint="eastAsia" w:ascii="宋体" w:hAnsi="宋体" w:eastAsia="宋体" w:cs="宋体"/>
          <w:sz w:val="24"/>
          <w:szCs w:val="24"/>
          <w:highlight w:val="none"/>
        </w:rPr>
        <w:br w:type="page"/>
      </w:r>
    </w:p>
    <w:p>
      <w:pPr>
        <w:pStyle w:val="6"/>
        <w:pageBreakBefore w:val="0"/>
        <w:widowControl w:val="0"/>
        <w:kinsoku/>
        <w:wordWrap/>
        <w:overflowPunct/>
        <w:topLinePunct w:val="0"/>
        <w:autoSpaceDE/>
        <w:autoSpaceDN/>
        <w:bidi w:val="0"/>
        <w:spacing w:beforeLines="50" w:afterLines="50" w:line="420" w:lineRule="exact"/>
        <w:ind w:firstLine="482"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总则</w:t>
      </w:r>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kern w:val="44"/>
          <w:highlight w:val="none"/>
        </w:rPr>
      </w:pPr>
      <w:bookmarkStart w:id="58" w:name="_Toc144974498"/>
      <w:bookmarkStart w:id="59" w:name="_Toc152042306"/>
      <w:bookmarkStart w:id="60" w:name="_Toc35424888"/>
      <w:bookmarkStart w:id="61" w:name="_Toc152045530"/>
      <w:bookmarkStart w:id="62" w:name="_Toc247085690"/>
      <w:bookmarkStart w:id="63" w:name="_Toc4678"/>
      <w:bookmarkStart w:id="64" w:name="_Toc296602421"/>
      <w:bookmarkStart w:id="65" w:name="_Toc324404816"/>
      <w:bookmarkStart w:id="66" w:name="_Toc246996176"/>
      <w:bookmarkStart w:id="67" w:name="_Toc15058847"/>
      <w:bookmarkStart w:id="68" w:name="_Toc179632547"/>
      <w:bookmarkStart w:id="69" w:name="_Toc506107270"/>
      <w:bookmarkStart w:id="70" w:name="_Toc246996919"/>
      <w:bookmarkStart w:id="71" w:name="_Toc35425054"/>
      <w:bookmarkStart w:id="72" w:name="_Toc78803323"/>
      <w:r>
        <w:rPr>
          <w:rFonts w:hint="eastAsia" w:ascii="宋体" w:hAnsi="宋体" w:eastAsia="宋体" w:cs="宋体"/>
          <w:kern w:val="44"/>
          <w:highlight w:val="none"/>
        </w:rPr>
        <w:t>1.1 项目概况</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1.1.1根据《中华人民共和国招标投标法》《中华人民共和国招标投标法实施条例》等有关法律、法规和规章的规定，本招标项目已具备招标条件，现对本项目施工进行招标。</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1.1.2 本招标项目招标人：见投标人须知前附表。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1.1.3 本招标项目招标代理机构：见投标人须知前附表。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1.1.4 本招标项目名称：见投标人须知前附表。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1.1.5 本招标项目建设地点：见投标人须知前附表。</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73" w:name="_Toc15058848"/>
      <w:bookmarkStart w:id="74" w:name="_Toc179632548"/>
      <w:bookmarkStart w:id="75" w:name="_Toc247085691"/>
      <w:bookmarkStart w:id="76" w:name="_Toc506107271"/>
      <w:bookmarkStart w:id="77" w:name="_Toc7142"/>
      <w:bookmarkStart w:id="78" w:name="_Toc35424889"/>
      <w:bookmarkStart w:id="79" w:name="_Toc35425055"/>
      <w:bookmarkStart w:id="80" w:name="_Toc152042307"/>
      <w:bookmarkStart w:id="81" w:name="_Toc152045531"/>
      <w:bookmarkStart w:id="82" w:name="_Toc246996177"/>
      <w:bookmarkStart w:id="83" w:name="_Toc296602422"/>
      <w:bookmarkStart w:id="84" w:name="_Toc324404817"/>
      <w:bookmarkStart w:id="85" w:name="_Toc78803324"/>
      <w:bookmarkStart w:id="86" w:name="_Toc246996920"/>
      <w:bookmarkStart w:id="87" w:name="_Toc144974499"/>
      <w:r>
        <w:rPr>
          <w:rFonts w:hint="eastAsia" w:ascii="宋体" w:hAnsi="宋体" w:eastAsia="宋体" w:cs="宋体"/>
          <w:highlight w:val="none"/>
        </w:rPr>
        <w:t>1.2 资金来源和落实情况</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1.2.1 本招标项目的资金来源及出资比例：见投标人须知前附表。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1.2.2 本招标项目的资金落实情况：见投标人须知前附表。</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88" w:name="_Toc324404818"/>
      <w:bookmarkStart w:id="89" w:name="_Toc144974500"/>
      <w:bookmarkStart w:id="90" w:name="_Toc247085692"/>
      <w:bookmarkStart w:id="91" w:name="_Toc506107272"/>
      <w:bookmarkStart w:id="92" w:name="_Toc246996921"/>
      <w:bookmarkStart w:id="93" w:name="_Toc296602423"/>
      <w:bookmarkStart w:id="94" w:name="_Toc179632549"/>
      <w:bookmarkStart w:id="95" w:name="_Toc35424890"/>
      <w:bookmarkStart w:id="96" w:name="_Toc15058849"/>
      <w:bookmarkStart w:id="97" w:name="_Toc152045532"/>
      <w:bookmarkStart w:id="98" w:name="_Toc152042308"/>
      <w:bookmarkStart w:id="99" w:name="_Toc35425056"/>
      <w:bookmarkStart w:id="100" w:name="_Toc246996178"/>
      <w:bookmarkStart w:id="101" w:name="_Toc6330"/>
      <w:bookmarkStart w:id="102" w:name="_Toc78803325"/>
      <w:r>
        <w:rPr>
          <w:rFonts w:hint="eastAsia" w:ascii="宋体" w:hAnsi="宋体" w:eastAsia="宋体" w:cs="宋体"/>
          <w:highlight w:val="none"/>
        </w:rPr>
        <w:t>1.3 招标范围、</w:t>
      </w:r>
      <w:r>
        <w:rPr>
          <w:rFonts w:hint="eastAsia" w:ascii="宋体" w:hAnsi="宋体" w:eastAsia="宋体" w:cs="宋体"/>
          <w:highlight w:val="none"/>
          <w:lang w:val="en-US" w:eastAsia="zh-CN"/>
        </w:rPr>
        <w:t>工期</w:t>
      </w:r>
      <w:r>
        <w:rPr>
          <w:rFonts w:hint="eastAsia" w:ascii="宋体" w:hAnsi="宋体" w:eastAsia="宋体" w:cs="宋体"/>
          <w:highlight w:val="none"/>
        </w:rPr>
        <w:t>、质量要求</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1.3.1 本次招标范围：见投标人须知前附表。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1.3.2 本招标项目的</w:t>
      </w:r>
      <w:r>
        <w:rPr>
          <w:rFonts w:hint="eastAsia" w:ascii="宋体" w:hAnsi="宋体" w:cs="宋体"/>
          <w:szCs w:val="21"/>
          <w:highlight w:val="none"/>
          <w:lang w:val="en-US" w:eastAsia="zh-CN"/>
        </w:rPr>
        <w:t>工期</w:t>
      </w:r>
      <w:r>
        <w:rPr>
          <w:rFonts w:hint="eastAsia" w:ascii="宋体" w:hAnsi="宋体" w:cs="宋体"/>
          <w:szCs w:val="21"/>
          <w:highlight w:val="none"/>
        </w:rPr>
        <w:t>：见投标人须知前附表。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1.3.3 本招标项目的质量要求：见投标人须知前附表。</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103" w:name="_Toc35424891"/>
      <w:bookmarkStart w:id="104" w:name="_Toc246996922"/>
      <w:bookmarkStart w:id="105" w:name="_Toc144974502"/>
      <w:bookmarkStart w:id="106" w:name="_Toc152042310"/>
      <w:bookmarkStart w:id="107" w:name="_Toc35425057"/>
      <w:bookmarkStart w:id="108" w:name="_Toc78803326"/>
      <w:bookmarkStart w:id="109" w:name="_Toc15058850"/>
      <w:bookmarkStart w:id="110" w:name="_Toc246996179"/>
      <w:bookmarkStart w:id="111" w:name="_Toc152045534"/>
      <w:bookmarkStart w:id="112" w:name="_Toc506107273"/>
      <w:bookmarkStart w:id="113" w:name="_Toc179632551"/>
      <w:bookmarkStart w:id="114" w:name="_Toc247085693"/>
      <w:bookmarkStart w:id="115" w:name="_Toc324404819"/>
      <w:bookmarkStart w:id="116" w:name="_Toc26897"/>
      <w:bookmarkStart w:id="117" w:name="_Toc296602424"/>
      <w:r>
        <w:rPr>
          <w:rFonts w:hint="eastAsia" w:ascii="宋体" w:hAnsi="宋体" w:eastAsia="宋体" w:cs="宋体"/>
          <w:highlight w:val="none"/>
        </w:rPr>
        <w:t>1.4 投标人资格要求</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bookmarkStart w:id="118" w:name="_Toc247085694"/>
      <w:bookmarkStart w:id="119" w:name="_Toc78803327"/>
      <w:bookmarkStart w:id="120" w:name="_Toc35425058"/>
      <w:bookmarkStart w:id="121" w:name="_Toc152042311"/>
      <w:bookmarkStart w:id="122" w:name="_Toc506107274"/>
      <w:bookmarkStart w:id="123" w:name="_Toc246996923"/>
      <w:bookmarkStart w:id="124" w:name="_Toc35424892"/>
      <w:bookmarkStart w:id="125" w:name="_Toc246996180"/>
      <w:bookmarkStart w:id="126" w:name="_Toc179632552"/>
      <w:bookmarkStart w:id="127" w:name="_Toc10179"/>
      <w:bookmarkStart w:id="128" w:name="_Toc144974503"/>
      <w:bookmarkStart w:id="129" w:name="_Toc152045535"/>
      <w:bookmarkStart w:id="130" w:name="_Toc324404820"/>
      <w:bookmarkStart w:id="131" w:name="_Toc15058851"/>
      <w:bookmarkStart w:id="132" w:name="_Toc296602425"/>
      <w:r>
        <w:rPr>
          <w:rFonts w:hint="eastAsia" w:ascii="宋体" w:hAnsi="宋体" w:eastAsia="宋体" w:cs="宋体"/>
          <w:szCs w:val="21"/>
          <w:highlight w:val="none"/>
        </w:rPr>
        <w:t>1.4.1 投标人应具备承担本项目施工的资质条件、能力和信誉。</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（1）资质条件：见投标人须知前附表；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（2）信誉要求：见投标人须知前附表；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（3）项目</w:t>
      </w:r>
      <w:r>
        <w:rPr>
          <w:rFonts w:hint="eastAsia" w:ascii="宋体" w:hAnsi="宋体" w:eastAsia="宋体" w:cs="宋体"/>
          <w:szCs w:val="21"/>
          <w:highlight w:val="none"/>
          <w:lang w:val="en-US" w:eastAsia="zh-CN"/>
        </w:rPr>
        <w:t>负责人</w:t>
      </w:r>
      <w:r>
        <w:rPr>
          <w:rFonts w:hint="eastAsia" w:ascii="宋体" w:hAnsi="宋体" w:eastAsia="宋体" w:cs="宋体"/>
          <w:szCs w:val="21"/>
          <w:highlight w:val="none"/>
        </w:rPr>
        <w:t>资格：见投标人须知前附表；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（4）其他要求：见投标人须知前附表。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1.4.2 投标人须知前附表规定接受联合体投标的，除应符合本章第1.4.1项和投标人须知前附表的要求外，还应遵守以下规定：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（1）联合体各方应按招标文件提供的格式签订联合体协议书，明确联合体各方权利义务，并承诺就中标项目向招标人承担连带责任；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（2）联合体各方不得再以自己名义单独或参加其他联合体在同一标段中投标。</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1.4.3投标人（包括联合体各成员）不得与本标段相关单位存在下列关联关系：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（1）为招标人不具有独立法人资格的附属机构（单位）；</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（2）与招标人存在利害关系且可能影响招标公正性；</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（3）与本标段的其他投标人同为一个单位负责人；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（4）与本标段的其他投标人存在控股、管理关系；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（5）为本标段的监理人；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（6）为本标段的代建人；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（7）为本标段的招标代理机构；</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（8）与本标段的监理人或代建人或招标代理机构同为一个法定代表人；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（9）与本标段的监理人或代建人或招标代理机构存在控股或参股关系；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（10）法律法规或投标人须知前附表规定的其他情形。</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r>
        <w:rPr>
          <w:rFonts w:hint="eastAsia" w:ascii="宋体" w:hAnsi="宋体" w:eastAsia="宋体" w:cs="宋体"/>
          <w:highlight w:val="none"/>
        </w:rPr>
        <w:t>1.5 费用承担</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投标人准备和参加投标活动发生的费用自理。</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133" w:name="_Toc247085695"/>
      <w:bookmarkStart w:id="134" w:name="_Toc152042312"/>
      <w:bookmarkStart w:id="135" w:name="_Toc35425059"/>
      <w:bookmarkStart w:id="136" w:name="_Toc246996181"/>
      <w:bookmarkStart w:id="137" w:name="_Toc78803328"/>
      <w:bookmarkStart w:id="138" w:name="_Toc246996924"/>
      <w:bookmarkStart w:id="139" w:name="_Toc324404821"/>
      <w:bookmarkStart w:id="140" w:name="_Toc296602426"/>
      <w:bookmarkStart w:id="141" w:name="_Toc179632553"/>
      <w:bookmarkStart w:id="142" w:name="_Toc506107275"/>
      <w:bookmarkStart w:id="143" w:name="_Toc4092"/>
      <w:bookmarkStart w:id="144" w:name="_Toc15058852"/>
      <w:bookmarkStart w:id="145" w:name="_Toc35424893"/>
      <w:bookmarkStart w:id="146" w:name="_Toc152045536"/>
      <w:bookmarkStart w:id="147" w:name="_Toc144974504"/>
      <w:r>
        <w:rPr>
          <w:rFonts w:hint="eastAsia" w:ascii="宋体" w:hAnsi="宋体" w:eastAsia="宋体" w:cs="宋体"/>
          <w:highlight w:val="none"/>
        </w:rPr>
        <w:t>1.6 保密</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 xml:space="preserve">参与招标投标活动的各方应对招标文件和投标文件中的商业和技术等秘密保密，违者应对由此造成的后果承担法律责任。 </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148" w:name="_Toc144974505"/>
      <w:bookmarkStart w:id="149" w:name="_Toc247085696"/>
      <w:bookmarkStart w:id="150" w:name="_Toc506107276"/>
      <w:bookmarkStart w:id="151" w:name="_Toc152045537"/>
      <w:bookmarkStart w:id="152" w:name="_Toc4119"/>
      <w:bookmarkStart w:id="153" w:name="_Toc179632554"/>
      <w:bookmarkStart w:id="154" w:name="_Toc296602427"/>
      <w:bookmarkStart w:id="155" w:name="_Toc78803329"/>
      <w:bookmarkStart w:id="156" w:name="_Toc246996182"/>
      <w:bookmarkStart w:id="157" w:name="_Toc35425060"/>
      <w:bookmarkStart w:id="158" w:name="_Toc324404822"/>
      <w:bookmarkStart w:id="159" w:name="_Toc152042313"/>
      <w:bookmarkStart w:id="160" w:name="_Toc35424894"/>
      <w:bookmarkStart w:id="161" w:name="_Toc15058853"/>
      <w:bookmarkStart w:id="162" w:name="_Toc246996925"/>
      <w:r>
        <w:rPr>
          <w:rFonts w:hint="eastAsia" w:ascii="宋体" w:hAnsi="宋体" w:eastAsia="宋体" w:cs="宋体"/>
          <w:highlight w:val="none"/>
        </w:rPr>
        <w:t>1.7 语言</w:t>
      </w:r>
      <w:bookmarkEnd w:id="148"/>
      <w:r>
        <w:rPr>
          <w:rFonts w:hint="eastAsia" w:ascii="宋体" w:hAnsi="宋体" w:eastAsia="宋体" w:cs="宋体"/>
          <w:highlight w:val="none"/>
        </w:rPr>
        <w:t>文字</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bookmarkStart w:id="163" w:name="_Toc152045538"/>
      <w:bookmarkStart w:id="164" w:name="_Toc246996926"/>
      <w:bookmarkStart w:id="165" w:name="_Toc152042314"/>
      <w:bookmarkStart w:id="166" w:name="_Toc246996183"/>
      <w:bookmarkStart w:id="167" w:name="_Toc144974506"/>
      <w:bookmarkStart w:id="168" w:name="_Toc247085697"/>
      <w:bookmarkStart w:id="169" w:name="_Toc179632555"/>
      <w:r>
        <w:rPr>
          <w:rFonts w:hint="eastAsia" w:ascii="宋体" w:hAnsi="宋体" w:cs="宋体"/>
          <w:szCs w:val="21"/>
          <w:highlight w:val="none"/>
        </w:rPr>
        <w:t>招标投标文件使用的语言文字为中文。专用术语使用外文的，应附有中文注释。</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170" w:name="_Toc35424895"/>
      <w:bookmarkStart w:id="171" w:name="_Toc35425061"/>
      <w:bookmarkStart w:id="172" w:name="_Toc296602428"/>
      <w:bookmarkStart w:id="173" w:name="_Toc13408"/>
      <w:bookmarkStart w:id="174" w:name="_Toc15058854"/>
      <w:bookmarkStart w:id="175" w:name="_Toc324404823"/>
      <w:bookmarkStart w:id="176" w:name="_Toc78803330"/>
      <w:bookmarkStart w:id="177" w:name="_Toc506107277"/>
      <w:r>
        <w:rPr>
          <w:rFonts w:hint="eastAsia" w:ascii="宋体" w:hAnsi="宋体" w:eastAsia="宋体" w:cs="宋体"/>
          <w:highlight w:val="none"/>
        </w:rPr>
        <w:t>1.8 计量单位</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所有计量均采用中华人民共和国法定计量单位。</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178" w:name="_Toc11493"/>
      <w:bookmarkStart w:id="179" w:name="_Toc35424896"/>
      <w:bookmarkStart w:id="180" w:name="_Toc152045539"/>
      <w:bookmarkStart w:id="181" w:name="_Toc152042315"/>
      <w:bookmarkStart w:id="182" w:name="_Toc144974507"/>
      <w:bookmarkStart w:id="183" w:name="_Toc78803331"/>
      <w:bookmarkStart w:id="184" w:name="_Toc247592876"/>
      <w:bookmarkStart w:id="185" w:name="_Toc15058855"/>
      <w:bookmarkStart w:id="186" w:name="_Toc247513962"/>
      <w:bookmarkStart w:id="187" w:name="_Toc35425062"/>
      <w:bookmarkStart w:id="188" w:name="_Toc324404824"/>
      <w:bookmarkStart w:id="189" w:name="_Toc247527563"/>
      <w:bookmarkStart w:id="190" w:name="_Toc296602429"/>
      <w:bookmarkStart w:id="191" w:name="_Toc506107278"/>
      <w:r>
        <w:rPr>
          <w:rFonts w:hint="eastAsia" w:ascii="宋体" w:hAnsi="宋体" w:eastAsia="宋体" w:cs="宋体"/>
          <w:highlight w:val="none"/>
        </w:rPr>
        <w:t>1.9 踏勘现场</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bookmarkStart w:id="192" w:name="_Toc22954"/>
      <w:bookmarkStart w:id="193" w:name="_Toc35424897"/>
      <w:bookmarkStart w:id="194" w:name="_Toc506107279"/>
      <w:bookmarkStart w:id="195" w:name="_Toc247527564"/>
      <w:bookmarkStart w:id="196" w:name="_Toc152042316"/>
      <w:bookmarkStart w:id="197" w:name="_Toc247592877"/>
      <w:bookmarkStart w:id="198" w:name="_Toc78803332"/>
      <w:bookmarkStart w:id="199" w:name="_Toc247513963"/>
      <w:bookmarkStart w:id="200" w:name="_Toc15058856"/>
      <w:bookmarkStart w:id="201" w:name="_Toc144974508"/>
      <w:bookmarkStart w:id="202" w:name="_Toc324404825"/>
      <w:bookmarkStart w:id="203" w:name="_Toc296602430"/>
      <w:bookmarkStart w:id="204" w:name="_Toc35425063"/>
      <w:bookmarkStart w:id="205" w:name="_Toc152045540"/>
      <w:r>
        <w:rPr>
          <w:rFonts w:hint="eastAsia" w:ascii="宋体" w:hAnsi="宋体" w:eastAsia="宋体" w:cs="宋体"/>
          <w:szCs w:val="21"/>
          <w:highlight w:val="none"/>
        </w:rPr>
        <w:t xml:space="preserve">1.9.1前附表规定组织踏勘现场的，招标人按投标人须知前附表规定的时间、地点组织投标人踏勘项目现场。部分投标人未按时参加踏勘现场的，不影响踏勘现场的正常进行。招标人不得组织单个或部分投标人踏勘项目现场。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1.9.2 投标人踏勘现场发生的费用自理。</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1.9.3 除招标人的原因外，投标人自行负责在踏勘现场中所发生的人员伤亡和财产损失。</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1.9.4 招标人在踏勘现场中介绍的工程场地和相关的周边环境情况，供投标人在编制投标文件时参考，招标人不对投标人据此作出的判断和决策负责。</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1.9.5无论投标人是否到施工现场实地踏勘，中标后签订合同时和履约过程中，投标人不得以不完全了解现场情况或现场情况与招标文件描述不一致等为由，提出任何形式的增加工程造价或索赔的要求。</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r>
        <w:rPr>
          <w:rFonts w:hint="eastAsia" w:ascii="宋体" w:hAnsi="宋体" w:eastAsia="宋体" w:cs="宋体"/>
          <w:highlight w:val="none"/>
        </w:rPr>
        <w:t>1.10 投标预备会</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bookmarkStart w:id="206" w:name="_Toc15058857"/>
      <w:bookmarkStart w:id="207" w:name="_Toc324404826"/>
      <w:bookmarkStart w:id="208" w:name="_Toc296602431"/>
      <w:bookmarkStart w:id="209" w:name="_Toc506107280"/>
      <w:bookmarkStart w:id="210" w:name="_Toc95223347"/>
      <w:bookmarkStart w:id="211" w:name="_Toc83301699"/>
      <w:bookmarkStart w:id="212" w:name="_Toc60061444"/>
      <w:bookmarkStart w:id="213" w:name="_Toc324404827"/>
      <w:bookmarkStart w:id="214" w:name="_Toc35424899"/>
      <w:bookmarkStart w:id="215" w:name="_Toc4012"/>
      <w:bookmarkStart w:id="216" w:name="_Toc152042318"/>
      <w:bookmarkStart w:id="217" w:name="_Toc247085701"/>
      <w:bookmarkStart w:id="218" w:name="_Toc506107281"/>
      <w:bookmarkStart w:id="219" w:name="_Toc179632560"/>
      <w:bookmarkStart w:id="220" w:name="_Toc246996930"/>
      <w:bookmarkStart w:id="221" w:name="_Toc152045542"/>
      <w:bookmarkStart w:id="222" w:name="_Toc246996187"/>
      <w:bookmarkStart w:id="223" w:name="_Toc35425065"/>
      <w:bookmarkStart w:id="224" w:name="_Toc144974510"/>
      <w:bookmarkStart w:id="225" w:name="_Toc78803334"/>
      <w:bookmarkStart w:id="226" w:name="_Toc15058858"/>
      <w:r>
        <w:rPr>
          <w:rFonts w:hint="eastAsia" w:ascii="宋体" w:hAnsi="宋体" w:eastAsia="宋体" w:cs="宋体"/>
          <w:szCs w:val="21"/>
          <w:highlight w:val="none"/>
        </w:rPr>
        <w:t>1.10.1投标人须知前附表规定召开投标预备会的，招标人按投标人须知前附表规定的时间和地点召开投标预备会，澄清投标人提出的问题。</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1.10.2投标人应在投标人须知前附表规定的时间前，将提出的问题送达招标人，以便招标人澄清。</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 xml:space="preserve">1.11 </w:t>
      </w:r>
      <w:bookmarkEnd w:id="206"/>
      <w:bookmarkEnd w:id="207"/>
      <w:bookmarkEnd w:id="208"/>
      <w:bookmarkEnd w:id="209"/>
      <w:r>
        <w:rPr>
          <w:rFonts w:hint="eastAsia" w:ascii="宋体" w:hAnsi="宋体" w:eastAsia="宋体" w:cs="宋体"/>
          <w:color w:val="auto"/>
          <w:highlight w:val="none"/>
        </w:rPr>
        <w:t>分包</w:t>
      </w:r>
      <w:bookmarkEnd w:id="210"/>
      <w:bookmarkEnd w:id="211"/>
      <w:bookmarkEnd w:id="212"/>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1.11.1 投标人拟在中标后将中标项目的部分非主体、非关键性工作进行分包的，应符合以下规定：</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（1）分包内容要求：招标人允许分包或不允许分包的专业工程（如有）应在投标人须知前附表中载明；</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（2）接受分包的第三人资格要求：分包人的资格能力应与其分包工程的标准和规模相适应，且具备投标人须知前附表中规定的资格条件；</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（3）其他要求：</w:t>
      </w:r>
      <w:r>
        <w:rPr>
          <w:rFonts w:hint="eastAsia" w:ascii="宋体" w:hAnsi="宋体" w:cs="宋体"/>
          <w:color w:val="auto"/>
          <w:szCs w:val="21"/>
          <w:highlight w:val="none"/>
          <w:lang w:val="en-US" w:eastAsia="zh-CN"/>
        </w:rPr>
        <w:t>无。</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1.11.2中标人不得向他人转让中标项目，接受分包的人不得再次分包。中标人应就分包项目向招标人负责，接受分包的人就分包项目承担连带责任。</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color w:val="auto"/>
          <w:highlight w:val="none"/>
        </w:rPr>
      </w:pPr>
      <w:bookmarkStart w:id="227" w:name="_Toc95223348"/>
      <w:bookmarkStart w:id="228" w:name="_Toc83301700"/>
      <w:bookmarkStart w:id="229" w:name="_Toc60061445"/>
      <w:r>
        <w:rPr>
          <w:rFonts w:hint="eastAsia" w:ascii="宋体" w:hAnsi="宋体" w:eastAsia="宋体" w:cs="宋体"/>
          <w:color w:val="auto"/>
          <w:highlight w:val="none"/>
        </w:rPr>
        <w:t>1.12 偏离</w:t>
      </w:r>
      <w:bookmarkEnd w:id="227"/>
      <w:bookmarkEnd w:id="228"/>
      <w:bookmarkEnd w:id="229"/>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1.12.1投标文件偏离招标文件某些要求，视为投标文件存在偏差。偏差包括重大偏差和细微偏差。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1.12.2投标文件应对招标文件的实质性要求和条件作出满足性或更有利于招标人的响应，否则，视为投标文件存在重大偏差，投标人的投标将被否决。</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投标文件存在第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章“评标办法”中所列任一无效投标情形的，均属于存在重大偏差。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1.12.3投标文件中的下列偏差为细微偏差：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（1）在按照第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章“评标办法”的规定对投标价进行算术性错误修正及其他错误修正后，最终投标报价未超过最高投标限价（如有）或未被否决投标的情况下，出现第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章“评标办法”规定的算术性错误和投标报价的其他错误；</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（2）投标文件个别文字有遗漏错误等不影响投标文件实质性内容的偏差。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1.12.4评标委员会对投标文件中的细微偏差按如下规定处理：</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对于本章第 1.12.3 项（1）目所述的细微偏差，按照第</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章“评标办法”的规定予以修正并要求投标人进行澄清；</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对于本章第 1.12.3 项（2）目所述的细微偏差，可要求投标人对细微偏差进行澄清。</w:t>
      </w:r>
    </w:p>
    <w:p>
      <w:pPr>
        <w:pStyle w:val="6"/>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2. 招标文件</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230" w:name="_Toc296602433"/>
      <w:bookmarkStart w:id="231" w:name="_Toc506107282"/>
      <w:bookmarkStart w:id="232" w:name="_Toc152045543"/>
      <w:bookmarkStart w:id="233" w:name="_Toc152042319"/>
      <w:bookmarkStart w:id="234" w:name="_Toc246996188"/>
      <w:bookmarkStart w:id="235" w:name="_Toc246996931"/>
      <w:bookmarkStart w:id="236" w:name="_Toc35424900"/>
      <w:bookmarkStart w:id="237" w:name="_Toc78803335"/>
      <w:bookmarkStart w:id="238" w:name="_Toc13213"/>
      <w:bookmarkStart w:id="239" w:name="_Toc35425066"/>
      <w:bookmarkStart w:id="240" w:name="_Toc324404828"/>
      <w:bookmarkStart w:id="241" w:name="_Toc179632561"/>
      <w:bookmarkStart w:id="242" w:name="_Toc144974511"/>
      <w:bookmarkStart w:id="243" w:name="_Toc15058859"/>
      <w:bookmarkStart w:id="244" w:name="_Toc247085702"/>
      <w:r>
        <w:rPr>
          <w:rFonts w:hint="eastAsia" w:ascii="宋体" w:hAnsi="宋体" w:eastAsia="宋体" w:cs="宋体"/>
          <w:highlight w:val="none"/>
        </w:rPr>
        <w:t>2.1 招标文件的组成</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2.1.1 本招标文件包括：</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（1）招标公告；</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（2）投标人须知；</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（3）资格审查办法</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（4）评标办法；</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（5）合同条款及格式；</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cs="宋体"/>
          <w:szCs w:val="21"/>
          <w:highlight w:val="none"/>
          <w:lang w:val="en-US" w:eastAsia="zh-CN"/>
        </w:rPr>
        <w:t>6</w:t>
      </w:r>
      <w:r>
        <w:rPr>
          <w:rFonts w:hint="eastAsia" w:ascii="宋体" w:hAnsi="宋体" w:eastAsia="宋体" w:cs="宋体"/>
          <w:szCs w:val="21"/>
          <w:highlight w:val="none"/>
        </w:rPr>
        <w:t>）图纸；</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cs="宋体"/>
          <w:szCs w:val="21"/>
          <w:highlight w:val="none"/>
          <w:lang w:val="en-US" w:eastAsia="zh-CN"/>
        </w:rPr>
        <w:t>7</w:t>
      </w:r>
      <w:r>
        <w:rPr>
          <w:rFonts w:hint="eastAsia" w:ascii="宋体" w:hAnsi="宋体" w:eastAsia="宋体" w:cs="宋体"/>
          <w:szCs w:val="21"/>
          <w:highlight w:val="none"/>
        </w:rPr>
        <w:t>）投标文件格式；</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cs="宋体"/>
          <w:szCs w:val="21"/>
          <w:highlight w:val="none"/>
          <w:lang w:val="en-US" w:eastAsia="zh-CN"/>
        </w:rPr>
        <w:t>8</w:t>
      </w:r>
      <w:r>
        <w:rPr>
          <w:rFonts w:hint="eastAsia" w:ascii="宋体" w:hAnsi="宋体" w:eastAsia="宋体" w:cs="宋体"/>
          <w:szCs w:val="21"/>
          <w:highlight w:val="none"/>
        </w:rPr>
        <w:t>）投标人须知前附表规定的其他材料。</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2.1.2 根据本章第1.10款、第2.2款和第2.3款对招标文件所作的澄清、修改，构成招标文件的组成部分。</w:t>
      </w:r>
    </w:p>
    <w:p>
      <w:pPr>
        <w:pStyle w:val="20"/>
        <w:pageBreakBefore w:val="0"/>
        <w:widowControl w:val="0"/>
        <w:kinsoku/>
        <w:wordWrap/>
        <w:overflowPunct/>
        <w:topLinePunct w:val="0"/>
        <w:autoSpaceDE/>
        <w:autoSpaceDN/>
        <w:bidi w:val="0"/>
        <w:adjustRightInd w:val="0"/>
        <w:snapToGrid w:val="0"/>
        <w:spacing w:after="0" w:line="420" w:lineRule="exact"/>
        <w:ind w:firstLine="420" w:firstLineChars="200"/>
        <w:textAlignment w:val="auto"/>
      </w:pPr>
      <w:r>
        <w:rPr>
          <w:rFonts w:hint="eastAsia" w:ascii="宋体" w:hAnsi="宋体" w:cs="宋体"/>
          <w:color w:val="000000"/>
          <w:szCs w:val="21"/>
        </w:rPr>
        <w:t>2.1.3当招标文件、招标文件的澄清或修改等在同一内容的表述上不一致时，以最后发出的文件为准。</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lang w:eastAsia="zh-CN"/>
        </w:rPr>
      </w:pPr>
      <w:bookmarkStart w:id="245" w:name="_Toc324404829"/>
      <w:bookmarkStart w:id="246" w:name="_Toc35425067"/>
      <w:bookmarkStart w:id="247" w:name="_Toc144974512"/>
      <w:bookmarkStart w:id="248" w:name="_Toc179632562"/>
      <w:bookmarkStart w:id="249" w:name="_Toc15058860"/>
      <w:bookmarkStart w:id="250" w:name="_Toc247085703"/>
      <w:bookmarkStart w:id="251" w:name="_Toc78803336"/>
      <w:bookmarkStart w:id="252" w:name="_Toc35424901"/>
      <w:bookmarkStart w:id="253" w:name="_Toc246996189"/>
      <w:bookmarkStart w:id="254" w:name="_Toc246996932"/>
      <w:bookmarkStart w:id="255" w:name="_Toc152045544"/>
      <w:bookmarkStart w:id="256" w:name="_Toc506107283"/>
      <w:bookmarkStart w:id="257" w:name="_Toc296602434"/>
      <w:bookmarkStart w:id="258" w:name="_Toc152042320"/>
      <w:bookmarkStart w:id="259" w:name="_Toc32239"/>
      <w:r>
        <w:rPr>
          <w:rFonts w:hint="eastAsia" w:ascii="宋体" w:hAnsi="宋体" w:eastAsia="宋体" w:cs="宋体"/>
          <w:highlight w:val="none"/>
        </w:rPr>
        <w:t>2.2 招标文件的</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Pr>
          <w:rFonts w:hint="eastAsia" w:ascii="宋体" w:hAnsi="宋体" w:eastAsia="宋体" w:cs="宋体"/>
          <w:highlight w:val="none"/>
          <w:lang w:val="en-US" w:eastAsia="zh-CN"/>
        </w:rPr>
        <w:t>异议</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eastAsia="宋体" w:cs="宋体"/>
          <w:szCs w:val="21"/>
          <w:highlight w:val="none"/>
        </w:rPr>
        <w:t>投标人或其他利害关系人投标人应仔细阅读和检查招标文件的全部内容，对招标文件有异议的，应在投标人须知前附表规定的</w:t>
      </w:r>
      <w:r>
        <w:rPr>
          <w:rFonts w:hint="eastAsia" w:ascii="宋体" w:hAnsi="宋体" w:eastAsia="宋体" w:cs="宋体"/>
          <w:szCs w:val="21"/>
          <w:highlight w:val="none"/>
          <w:lang w:val="en-US" w:eastAsia="zh-CN"/>
        </w:rPr>
        <w:t>时间前以</w:t>
      </w:r>
      <w:r>
        <w:rPr>
          <w:rFonts w:hint="eastAsia" w:ascii="宋体" w:hAnsi="宋体" w:eastAsia="宋体" w:cs="宋体"/>
          <w:szCs w:val="21"/>
          <w:highlight w:val="none"/>
        </w:rPr>
        <w:t>网上留言或书面形式提出。招标人将在</w:t>
      </w:r>
      <w:r>
        <w:rPr>
          <w:rFonts w:hint="eastAsia" w:ascii="宋体" w:hAnsi="宋体" w:cs="宋体"/>
          <w:szCs w:val="21"/>
          <w:lang w:eastAsia="zh-CN"/>
        </w:rPr>
        <w:t>滁州市滁宁城际铁路开发建设有限公司网站（http://czctgs.cn/）</w:t>
      </w:r>
      <w:r>
        <w:rPr>
          <w:rFonts w:hint="eastAsia" w:ascii="宋体" w:hAnsi="宋体" w:cs="宋体"/>
          <w:szCs w:val="21"/>
          <w:highlight w:val="none"/>
        </w:rPr>
        <w:t xml:space="preserve">发布，但不指明澄清问题的来源。 </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lang w:eastAsia="zh-CN"/>
        </w:rPr>
      </w:pPr>
      <w:bookmarkStart w:id="260" w:name="_Toc179632563"/>
      <w:bookmarkStart w:id="261" w:name="_Toc78803337"/>
      <w:bookmarkStart w:id="262" w:name="_Toc35425068"/>
      <w:bookmarkStart w:id="263" w:name="_Toc152042321"/>
      <w:bookmarkStart w:id="264" w:name="_Toc24633"/>
      <w:bookmarkStart w:id="265" w:name="_Toc144974513"/>
      <w:bookmarkStart w:id="266" w:name="_Toc15058861"/>
      <w:bookmarkStart w:id="267" w:name="_Toc246996933"/>
      <w:bookmarkStart w:id="268" w:name="_Toc296602435"/>
      <w:bookmarkStart w:id="269" w:name="_Toc35424902"/>
      <w:bookmarkStart w:id="270" w:name="_Toc246996190"/>
      <w:bookmarkStart w:id="271" w:name="_Toc247085704"/>
      <w:bookmarkStart w:id="272" w:name="_Toc324404830"/>
      <w:bookmarkStart w:id="273" w:name="_Toc152045545"/>
      <w:bookmarkStart w:id="274" w:name="_Toc506107284"/>
      <w:r>
        <w:rPr>
          <w:rFonts w:hint="eastAsia" w:ascii="宋体" w:hAnsi="宋体" w:eastAsia="宋体" w:cs="宋体"/>
          <w:highlight w:val="none"/>
        </w:rPr>
        <w:t>2.3 招标文件的</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Pr>
          <w:rFonts w:hint="eastAsia" w:ascii="宋体" w:hAnsi="宋体" w:eastAsia="宋体" w:cs="宋体"/>
          <w:highlight w:val="none"/>
          <w:lang w:val="en-US" w:eastAsia="zh-CN"/>
        </w:rPr>
        <w:t>澄清</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color w:val="000000"/>
          <w:szCs w:val="21"/>
        </w:rPr>
        <w:t>招标人可以澄清招标文件，并以投标人须知前附表规定澄清的方式</w:t>
      </w:r>
      <w:r>
        <w:rPr>
          <w:rFonts w:hint="eastAsia" w:ascii="宋体" w:hAnsi="宋体" w:cs="宋体"/>
          <w:szCs w:val="21"/>
          <w:highlight w:val="none"/>
        </w:rPr>
        <w:t>在</w:t>
      </w:r>
      <w:r>
        <w:rPr>
          <w:rFonts w:hint="eastAsia" w:ascii="宋体" w:hAnsi="宋体" w:cs="宋体"/>
          <w:spacing w:val="-11"/>
          <w:szCs w:val="21"/>
          <w:lang w:eastAsia="zh-CN"/>
        </w:rPr>
        <w:t>滁州市滁宁城际铁路开发建设有限公司网站（http://czctgs.cn/）</w:t>
      </w:r>
      <w:r>
        <w:rPr>
          <w:rFonts w:hint="eastAsia"/>
          <w:color w:val="FF0000"/>
        </w:rPr>
        <w:t xml:space="preserve"> </w:t>
      </w:r>
      <w:r>
        <w:rPr>
          <w:rFonts w:hint="eastAsia" w:ascii="宋体" w:hAnsi="宋体" w:cs="宋体"/>
          <w:szCs w:val="21"/>
        </w:rPr>
        <w:t>发布</w:t>
      </w:r>
      <w:r>
        <w:rPr>
          <w:rFonts w:hint="eastAsia" w:ascii="宋体" w:hAnsi="宋体" w:cs="宋体"/>
          <w:szCs w:val="21"/>
          <w:highlight w:val="none"/>
        </w:rPr>
        <w:t>。但如果修改内容影响投标文件编制的，将相应延长投标截止时间。</w:t>
      </w:r>
    </w:p>
    <w:p>
      <w:pPr>
        <w:pStyle w:val="6"/>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sz w:val="24"/>
          <w:szCs w:val="24"/>
          <w:highlight w:val="none"/>
        </w:rPr>
      </w:pPr>
      <w:bookmarkStart w:id="275" w:name="_Toc35425070"/>
      <w:bookmarkStart w:id="276" w:name="_Toc152042322"/>
      <w:bookmarkStart w:id="277" w:name="_Toc35424904"/>
      <w:bookmarkStart w:id="278" w:name="_Toc152045546"/>
      <w:bookmarkStart w:id="279" w:name="_Toc15058863"/>
      <w:bookmarkStart w:id="280" w:name="_Toc246996191"/>
      <w:bookmarkStart w:id="281" w:name="_Toc6464"/>
      <w:bookmarkStart w:id="282" w:name="_Toc78803339"/>
      <w:bookmarkStart w:id="283" w:name="_Toc506107285"/>
      <w:bookmarkStart w:id="284" w:name="_Toc179632564"/>
      <w:bookmarkStart w:id="285" w:name="_Toc246996934"/>
      <w:bookmarkStart w:id="286" w:name="_Toc247085705"/>
      <w:bookmarkStart w:id="287" w:name="_Toc144974514"/>
      <w:bookmarkStart w:id="288" w:name="_Toc324404832"/>
      <w:r>
        <w:rPr>
          <w:rFonts w:hint="eastAsia" w:ascii="宋体" w:hAnsi="宋体" w:eastAsia="宋体" w:cs="宋体"/>
          <w:sz w:val="24"/>
          <w:szCs w:val="24"/>
          <w:highlight w:val="none"/>
        </w:rPr>
        <w:t>3. 投标文件</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289" w:name="_Toc35425071"/>
      <w:bookmarkStart w:id="290" w:name="_Toc152042323"/>
      <w:bookmarkStart w:id="291" w:name="_Toc506107286"/>
      <w:bookmarkStart w:id="292" w:name="_Toc324404833"/>
      <w:bookmarkStart w:id="293" w:name="_Toc78803340"/>
      <w:bookmarkStart w:id="294" w:name="_Toc35424905"/>
      <w:bookmarkStart w:id="295" w:name="_Toc157"/>
      <w:bookmarkStart w:id="296" w:name="_Toc247085706"/>
      <w:bookmarkStart w:id="297" w:name="_Toc246996935"/>
      <w:bookmarkStart w:id="298" w:name="_Toc15058864"/>
      <w:bookmarkStart w:id="299" w:name="_Toc144974515"/>
      <w:bookmarkStart w:id="300" w:name="_Toc296602437"/>
      <w:bookmarkStart w:id="301" w:name="_Toc179632565"/>
      <w:bookmarkStart w:id="302" w:name="_Toc246996192"/>
      <w:bookmarkStart w:id="303" w:name="_Toc152045547"/>
      <w:r>
        <w:rPr>
          <w:rFonts w:hint="eastAsia" w:ascii="宋体" w:hAnsi="宋体" w:eastAsia="宋体" w:cs="宋体"/>
          <w:highlight w:val="none"/>
        </w:rPr>
        <w:t>3.1 投标文件的组成</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投标文件的具体组成部分及材料要求详见本招标文件第</w:t>
      </w:r>
      <w:r>
        <w:rPr>
          <w:rFonts w:hint="eastAsia" w:ascii="宋体" w:hAnsi="宋体" w:cs="宋体"/>
          <w:szCs w:val="21"/>
          <w:highlight w:val="none"/>
          <w:lang w:val="en-US" w:eastAsia="zh-CN"/>
        </w:rPr>
        <w:t>六</w:t>
      </w:r>
      <w:r>
        <w:rPr>
          <w:rFonts w:hint="eastAsia" w:ascii="宋体" w:hAnsi="宋体" w:cs="宋体"/>
          <w:szCs w:val="21"/>
          <w:highlight w:val="none"/>
        </w:rPr>
        <w:t>章“投标文件格式”。</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304" w:name="_Toc78803341"/>
      <w:bookmarkStart w:id="305" w:name="_Toc324404834"/>
      <w:bookmarkStart w:id="306" w:name="_Toc6829"/>
      <w:bookmarkStart w:id="307" w:name="_Toc246996193"/>
      <w:bookmarkStart w:id="308" w:name="_Toc246996936"/>
      <w:bookmarkStart w:id="309" w:name="_Toc152042324"/>
      <w:bookmarkStart w:id="310" w:name="_Toc296602438"/>
      <w:bookmarkStart w:id="311" w:name="_Toc35425072"/>
      <w:bookmarkStart w:id="312" w:name="_Toc247085707"/>
      <w:bookmarkStart w:id="313" w:name="_Toc35424906"/>
      <w:bookmarkStart w:id="314" w:name="_Toc152045548"/>
      <w:bookmarkStart w:id="315" w:name="_Toc506107287"/>
      <w:bookmarkStart w:id="316" w:name="_Toc15058865"/>
      <w:bookmarkStart w:id="317" w:name="_Toc179632566"/>
      <w:bookmarkStart w:id="318" w:name="_Toc144974516"/>
      <w:r>
        <w:rPr>
          <w:rFonts w:hint="eastAsia" w:ascii="宋体" w:hAnsi="宋体" w:eastAsia="宋体" w:cs="宋体"/>
          <w:highlight w:val="none"/>
        </w:rPr>
        <w:t>3.2 投标报价</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bookmarkStart w:id="319" w:name="_Toc296602439"/>
      <w:bookmarkStart w:id="320" w:name="_Toc247085708"/>
      <w:bookmarkStart w:id="321" w:name="_Toc15058866"/>
      <w:bookmarkStart w:id="322" w:name="_Toc246996194"/>
      <w:bookmarkStart w:id="323" w:name="_Toc152042325"/>
      <w:bookmarkStart w:id="324" w:name="_Toc144974517"/>
      <w:bookmarkStart w:id="325" w:name="_Toc324404835"/>
      <w:bookmarkStart w:id="326" w:name="_Toc152045549"/>
      <w:bookmarkStart w:id="327" w:name="_Toc31735"/>
      <w:bookmarkStart w:id="328" w:name="_Toc78803342"/>
      <w:bookmarkStart w:id="329" w:name="_Toc506107288"/>
      <w:bookmarkStart w:id="330" w:name="_Toc35424907"/>
      <w:bookmarkStart w:id="331" w:name="_Toc179632567"/>
      <w:bookmarkStart w:id="332" w:name="_Toc246996937"/>
      <w:bookmarkStart w:id="333" w:name="_Toc35425073"/>
      <w:r>
        <w:rPr>
          <w:rFonts w:hint="eastAsia" w:ascii="宋体" w:hAnsi="宋体" w:eastAsia="宋体" w:cs="宋体"/>
          <w:szCs w:val="21"/>
          <w:highlight w:val="none"/>
        </w:rPr>
        <w:t>3.2.1投标报价应包括国家规定的增值税税金，除投标人须知前附表另有规定外，增值税税金按一般计税方法计算。投标人应按第</w:t>
      </w:r>
      <w:r>
        <w:rPr>
          <w:rFonts w:hint="eastAsia" w:ascii="宋体" w:hAnsi="宋体" w:eastAsia="宋体" w:cs="宋体"/>
          <w:szCs w:val="21"/>
          <w:highlight w:val="none"/>
          <w:lang w:val="en-US" w:eastAsia="zh-CN"/>
        </w:rPr>
        <w:t>六</w:t>
      </w:r>
      <w:r>
        <w:rPr>
          <w:rFonts w:hint="eastAsia" w:ascii="宋体" w:hAnsi="宋体" w:eastAsia="宋体" w:cs="宋体"/>
          <w:szCs w:val="21"/>
          <w:highlight w:val="none"/>
        </w:rPr>
        <w:t>章“投标文件格式”的要求在投标函中进行报价并填写工程量清单相应表格。</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3.2.2投标人应充分了解本项目的总体情况以及影响投标报价的其他要素。</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3.2.3投标人在投标截止时间前修改投标函中的投标报价总额，应同时修改“已标价工程量清单”中的相应报价，投标报价总额为各分项金额之和。此修改须符合本章第4.4款的有关要求。</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3.2.4招标人设有最高投标限价的，投标人的投标报价不得超过最高投标限价，最高投标限价在投标人须知前附表中载明。</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r>
        <w:rPr>
          <w:rFonts w:hint="eastAsia" w:ascii="宋体" w:hAnsi="宋体" w:eastAsia="宋体" w:cs="宋体"/>
          <w:highlight w:val="none"/>
        </w:rPr>
        <w:t>3.3 投标有效期</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3.3.1 除投标人须知前附表另有规定外，投标有效期为90天。</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3.3.2在投标有效期内，投标人撤销或修改其投标文件的，应承担招标文件和法律规定的责任。</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pStyle w:val="6"/>
        <w:pageBreakBefore w:val="0"/>
        <w:widowControl w:val="0"/>
        <w:kinsoku/>
        <w:wordWrap/>
        <w:overflowPunct/>
        <w:topLinePunct w:val="0"/>
        <w:autoSpaceDE/>
        <w:autoSpaceDN/>
        <w:bidi w:val="0"/>
        <w:spacing w:line="420" w:lineRule="exact"/>
        <w:ind w:firstLine="422" w:firstLineChars="200"/>
        <w:textAlignment w:val="auto"/>
        <w:rPr>
          <w:rFonts w:hint="default" w:ascii="宋体" w:hAnsi="宋体" w:eastAsia="宋体" w:cs="宋体"/>
          <w:highlight w:val="none"/>
          <w:lang w:val="en-US" w:eastAsia="zh-CN"/>
        </w:rPr>
      </w:pPr>
      <w:bookmarkStart w:id="334" w:name="_Toc179632568"/>
      <w:bookmarkStart w:id="335" w:name="_Toc324404836"/>
      <w:bookmarkStart w:id="336" w:name="_Toc152045550"/>
      <w:bookmarkStart w:id="337" w:name="_Toc78803343"/>
      <w:bookmarkStart w:id="338" w:name="_Toc35425074"/>
      <w:bookmarkStart w:id="339" w:name="_Toc15058867"/>
      <w:bookmarkStart w:id="340" w:name="_Toc247085709"/>
      <w:bookmarkStart w:id="341" w:name="_Toc152042326"/>
      <w:bookmarkStart w:id="342" w:name="_Toc10714"/>
      <w:bookmarkStart w:id="343" w:name="_Toc246996938"/>
      <w:bookmarkStart w:id="344" w:name="_Toc144974518"/>
      <w:bookmarkStart w:id="345" w:name="_Toc35424908"/>
      <w:bookmarkStart w:id="346" w:name="_Toc246996195"/>
      <w:bookmarkStart w:id="347" w:name="_Toc296602440"/>
      <w:bookmarkStart w:id="348" w:name="_Toc506107289"/>
      <w:r>
        <w:rPr>
          <w:rFonts w:hint="eastAsia" w:ascii="宋体" w:hAnsi="宋体" w:eastAsia="宋体" w:cs="宋体"/>
          <w:highlight w:val="none"/>
        </w:rPr>
        <w:t>3.4 投标保证金</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Pr>
          <w:rFonts w:hint="eastAsia" w:ascii="宋体" w:hAnsi="宋体" w:eastAsia="宋体" w:cs="宋体"/>
          <w:highlight w:val="none"/>
          <w:lang w:eastAsia="zh-CN"/>
        </w:rPr>
        <w:t>（</w:t>
      </w:r>
      <w:r>
        <w:rPr>
          <w:rFonts w:hint="eastAsia" w:ascii="宋体" w:hAnsi="宋体" w:eastAsia="宋体" w:cs="宋体"/>
          <w:highlight w:val="none"/>
          <w:lang w:val="en-US" w:eastAsia="zh-CN"/>
        </w:rPr>
        <w:t>本项目不采用）</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3.4.1 投标人须知前附表规定递交投标保证金的，投标人在递交投标文件的同时，应按投标人须知前附表规定的金额、担保形式规定的或者事先经过招标人认可的保证金格式递交保证金，并作为其投标文件的组成部分。联合体投标的，其投标保证金由牵头人递交，并应符合投标人须知前附表的规定。</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无论采取何种形式的投标保证金，投标保证金有效期均应与投标有效期一致（采用保函的保证期截止时间不得早于该项目投标有效期的截止时间）。招标人如果按本章第3.3.3项的规定延长了投标有效期，则投标保证金的有效期也相应延长。</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3.4.2 投标人不按本章第3.4.1项要求提交投标保证金的，评标委员会将否决其投标。</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3.4.</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 xml:space="preserve">有下列情形之一的，投标保证金将不予退还：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（1）投标截止后投标人撤销投标文件的；</w:t>
      </w:r>
    </w:p>
    <w:p>
      <w:pPr>
        <w:pageBreakBefore w:val="0"/>
        <w:widowControl w:val="0"/>
        <w:kinsoku/>
        <w:wordWrap/>
        <w:overflowPunct/>
        <w:topLinePunct w:val="0"/>
        <w:autoSpaceDE/>
        <w:autoSpaceDN/>
        <w:bidi w:val="0"/>
        <w:spacing w:line="420" w:lineRule="exact"/>
        <w:ind w:firstLine="420" w:firstLineChars="200"/>
        <w:jc w:val="left"/>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rPr>
        <w:t>（2）中标人无正当理由不与招标人订立合同，在签订合同时向招标人提出附加条件，或者不按照招标文件要求提交履约保证金的。</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349" w:name="_Toc78803344"/>
      <w:bookmarkStart w:id="350" w:name="_Toc35424909"/>
      <w:bookmarkStart w:id="351" w:name="_Toc506107290"/>
      <w:bookmarkStart w:id="352" w:name="_Toc324404837"/>
      <w:bookmarkStart w:id="353" w:name="_Toc35425075"/>
      <w:bookmarkStart w:id="354" w:name="_Toc296602442"/>
      <w:bookmarkStart w:id="355" w:name="_Toc19037"/>
      <w:bookmarkStart w:id="356" w:name="_Toc15058868"/>
      <w:bookmarkStart w:id="357" w:name="_Toc179632571"/>
      <w:bookmarkStart w:id="358" w:name="_Toc152042329"/>
      <w:bookmarkStart w:id="359" w:name="_Toc144974521"/>
      <w:bookmarkStart w:id="360" w:name="_Toc247085711"/>
      <w:bookmarkStart w:id="361" w:name="_Toc152045553"/>
      <w:bookmarkStart w:id="362" w:name="_Toc246996940"/>
      <w:bookmarkStart w:id="363" w:name="_Toc246996197"/>
      <w:r>
        <w:rPr>
          <w:rFonts w:hint="eastAsia" w:ascii="宋体" w:hAnsi="宋体" w:eastAsia="宋体" w:cs="宋体"/>
          <w:highlight w:val="none"/>
        </w:rPr>
        <w:t>3.5投标文件的编制</w:t>
      </w:r>
      <w:bookmarkEnd w:id="349"/>
      <w:bookmarkEnd w:id="350"/>
      <w:bookmarkEnd w:id="351"/>
      <w:bookmarkEnd w:id="352"/>
      <w:bookmarkEnd w:id="353"/>
      <w:bookmarkEnd w:id="354"/>
      <w:bookmarkEnd w:id="355"/>
      <w:bookmarkEnd w:id="356"/>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3.5.1投标文件应按第</w:t>
      </w:r>
      <w:r>
        <w:rPr>
          <w:rFonts w:hint="eastAsia" w:ascii="宋体" w:hAnsi="宋体" w:eastAsia="宋体" w:cs="宋体"/>
          <w:szCs w:val="21"/>
          <w:highlight w:val="none"/>
          <w:lang w:val="en-US" w:eastAsia="zh-CN"/>
        </w:rPr>
        <w:t>六</w:t>
      </w:r>
      <w:r>
        <w:rPr>
          <w:rFonts w:hint="eastAsia" w:ascii="宋体" w:hAnsi="宋体" w:eastAsia="宋体" w:cs="宋体"/>
          <w:szCs w:val="21"/>
          <w:highlight w:val="none"/>
        </w:rPr>
        <w:t>章“投标文件格式”进行编写，如有必要，可以增加附页，作为投标文件的组成部分。其中，投标函在满足招标文件实质性要求的基础上，可以提出比招标文件要求更有利于招标人的承诺。施工组织设计编制的特殊要求见投标人须知前附表。</w:t>
      </w:r>
    </w:p>
    <w:bookmarkEnd w:id="357"/>
    <w:bookmarkEnd w:id="358"/>
    <w:bookmarkEnd w:id="359"/>
    <w:bookmarkEnd w:id="360"/>
    <w:bookmarkEnd w:id="361"/>
    <w:bookmarkEnd w:id="362"/>
    <w:bookmarkEnd w:id="363"/>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bookmarkStart w:id="364" w:name="_Toc152045555"/>
      <w:bookmarkStart w:id="365" w:name="_Toc324404838"/>
      <w:bookmarkStart w:id="366" w:name="_Toc246996199"/>
      <w:bookmarkStart w:id="367" w:name="_Toc246996942"/>
      <w:bookmarkStart w:id="368" w:name="_Toc247085713"/>
      <w:bookmarkStart w:id="369" w:name="_Toc152042331"/>
      <w:bookmarkStart w:id="370" w:name="_Toc179632573"/>
      <w:bookmarkStart w:id="371" w:name="_Toc144974523"/>
      <w:r>
        <w:rPr>
          <w:rFonts w:hint="eastAsia" w:ascii="宋体" w:hAnsi="宋体" w:eastAsia="宋体" w:cs="宋体"/>
          <w:szCs w:val="21"/>
          <w:highlight w:val="none"/>
        </w:rPr>
        <w:t>3.5.2本次投标不需要提供纸质投标文件，投标人应按照</w:t>
      </w:r>
      <w:r>
        <w:rPr>
          <w:rFonts w:hint="eastAsia" w:ascii="宋体" w:hAnsi="宋体" w:eastAsia="宋体" w:cs="宋体"/>
          <w:szCs w:val="21"/>
          <w:highlight w:val="none"/>
          <w:lang w:val="en-US" w:eastAsia="zh-CN"/>
        </w:rPr>
        <w:t>招标文件</w:t>
      </w:r>
      <w:r>
        <w:rPr>
          <w:rFonts w:hint="eastAsia" w:ascii="宋体" w:hAnsi="宋体" w:eastAsia="宋体" w:cs="宋体"/>
          <w:szCs w:val="21"/>
          <w:highlight w:val="none"/>
        </w:rPr>
        <w:t>的要求，制作、签章、</w:t>
      </w:r>
      <w:r>
        <w:rPr>
          <w:rFonts w:hint="eastAsia" w:ascii="宋体" w:hAnsi="宋体" w:eastAsia="宋体" w:cs="宋体"/>
          <w:szCs w:val="21"/>
          <w:highlight w:val="none"/>
          <w:lang w:val="en-US" w:eastAsia="zh-CN"/>
        </w:rPr>
        <w:t>发送</w:t>
      </w:r>
      <w:r>
        <w:rPr>
          <w:rFonts w:hint="eastAsia" w:ascii="宋体" w:hAnsi="宋体" w:eastAsia="宋体" w:cs="宋体"/>
          <w:szCs w:val="21"/>
          <w:highlight w:val="none"/>
        </w:rPr>
        <w:t>加密的电子投标文件。</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3.5.3投标文件应当对招标文件有关工期、投标有效期、质量要求、技术标准和要求、招标范围等实质性内容作出响应。</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3.5.</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招标人有权核查投标人在投标文件中提供的资料，若在评标期间发现投标人提供了虚假资料，其投标将被否决；若在签订合同前发现作为中标候选人的投标人提供了虚假资料，招标人有权取消其中标资格；如果签订合同后发现中标人提供了虚假材料，招标人有权解除合同。同时招标人将投标人上述弄虚作假行为上报</w:t>
      </w:r>
      <w:r>
        <w:rPr>
          <w:rFonts w:hint="eastAsia" w:ascii="宋体" w:hAnsi="宋体" w:eastAsia="宋体" w:cs="宋体"/>
          <w:szCs w:val="21"/>
          <w:highlight w:val="none"/>
          <w:lang w:val="en-US" w:eastAsia="zh-CN"/>
        </w:rPr>
        <w:t>相关</w:t>
      </w:r>
      <w:r>
        <w:rPr>
          <w:rFonts w:hint="eastAsia" w:ascii="宋体" w:hAnsi="宋体" w:eastAsia="宋体" w:cs="宋体"/>
          <w:szCs w:val="21"/>
          <w:highlight w:val="none"/>
        </w:rPr>
        <w:t>部门处理。</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3.5.</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投标文件的制作应满足以下规定：</w:t>
      </w:r>
    </w:p>
    <w:p>
      <w:pPr>
        <w:pageBreakBefore w:val="0"/>
        <w:widowControl w:val="0"/>
        <w:numPr>
          <w:ilvl w:val="0"/>
          <w:numId w:val="3"/>
        </w:numPr>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招标文件中“签章”是指签字或盖章。在第</w:t>
      </w:r>
      <w:r>
        <w:rPr>
          <w:rFonts w:hint="eastAsia" w:ascii="宋体" w:hAnsi="宋体" w:eastAsia="宋体" w:cs="宋体"/>
          <w:szCs w:val="21"/>
          <w:highlight w:val="none"/>
          <w:lang w:val="en-US" w:eastAsia="zh-CN"/>
        </w:rPr>
        <w:t>六</w:t>
      </w:r>
      <w:r>
        <w:rPr>
          <w:rFonts w:hint="eastAsia" w:ascii="宋体" w:hAnsi="宋体" w:eastAsia="宋体" w:cs="宋体"/>
          <w:szCs w:val="21"/>
          <w:highlight w:val="none"/>
        </w:rPr>
        <w:t>章“投标文件格式”中要求签章处，投标人应加盖投标人单位电子印章和法定代表人的个人电子印章/电子签名章或直接上传加盖投标人单位印章和法定代表人的印章（或签字）的原件彩色扫描件。</w:t>
      </w:r>
    </w:p>
    <w:p>
      <w:pPr>
        <w:pageBreakBefore w:val="0"/>
        <w:widowControl w:val="0"/>
        <w:numPr>
          <w:ilvl w:val="0"/>
          <w:numId w:val="3"/>
        </w:numPr>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投标人应对投标文件进行加密，形成加密的投标文件。</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3.5.</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因投标人自身原因而导致投标文件无法</w:t>
      </w:r>
      <w:r>
        <w:rPr>
          <w:rFonts w:hint="eastAsia" w:ascii="宋体" w:hAnsi="宋体" w:eastAsia="宋体" w:cs="宋体"/>
          <w:szCs w:val="21"/>
          <w:highlight w:val="none"/>
          <w:lang w:val="en-US" w:eastAsia="zh-CN"/>
        </w:rPr>
        <w:t>打开、读取</w:t>
      </w:r>
      <w:r>
        <w:rPr>
          <w:rFonts w:hint="eastAsia" w:ascii="宋体" w:hAnsi="宋体" w:eastAsia="宋体" w:cs="宋体"/>
          <w:szCs w:val="21"/>
          <w:highlight w:val="none"/>
        </w:rPr>
        <w:t>，该投标视为无效投标，投标人自行承担由此导致的全部责任。</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rPr>
        <w:t>3.5.</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投标人中标后须递交与网上电子投标文件完全一致的纸质版投标文件，在领取中标通知书时，一并递交给招标代理机构</w:t>
      </w:r>
      <w:r>
        <w:rPr>
          <w:rFonts w:hint="eastAsia" w:ascii="宋体" w:hAnsi="宋体" w:eastAsia="宋体" w:cs="宋体"/>
          <w:szCs w:val="21"/>
          <w:highlight w:val="none"/>
          <w:lang w:eastAsia="zh-CN"/>
        </w:rPr>
        <w:t>。</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r>
        <w:rPr>
          <w:rFonts w:hint="eastAsia" w:ascii="宋体" w:hAnsi="宋体" w:eastAsia="宋体" w:cs="宋体"/>
          <w:highlight w:val="none"/>
        </w:rPr>
        <w:t>3.6 备选投标方案</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3.6.1除投标人须知前附表规定允许外，投标人不得递交备选投标方案，否则其投标将被否决。</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3.6.2允许投标人递交备选投标方案的，只有中标人所递交的备选投标方案方可予以考虑。评标委员会认为中标人的备选投标方案优于其按照招标文件要求编制的投标方案的，招标人可以接受该备选投标方案。</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rPr>
        <w:t>3.6.3投标人提供两个或两个以上投标报价，或在投标文件中提供一个报价，但同时提供两个或两个以上施工组织设计的，视为提供备选方案。</w:t>
      </w:r>
    </w:p>
    <w:p>
      <w:pPr>
        <w:pStyle w:val="6"/>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sz w:val="24"/>
          <w:szCs w:val="24"/>
          <w:highlight w:val="none"/>
        </w:rPr>
      </w:pPr>
      <w:bookmarkStart w:id="372" w:name="_Toc35425076"/>
      <w:bookmarkStart w:id="373" w:name="_Toc35424910"/>
      <w:bookmarkStart w:id="374" w:name="_Toc506107291"/>
      <w:bookmarkStart w:id="375" w:name="_Toc78803345"/>
      <w:bookmarkStart w:id="376" w:name="_Toc15058869"/>
      <w:bookmarkStart w:id="377" w:name="_Toc19455"/>
      <w:r>
        <w:rPr>
          <w:rFonts w:hint="eastAsia" w:ascii="宋体" w:hAnsi="宋体" w:eastAsia="宋体" w:cs="宋体"/>
          <w:sz w:val="24"/>
          <w:szCs w:val="24"/>
          <w:highlight w:val="none"/>
        </w:rPr>
        <w:t>4.投标</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pPr>
        <w:pStyle w:val="6"/>
        <w:pageBreakBefore w:val="0"/>
        <w:widowControl w:val="0"/>
        <w:kinsoku/>
        <w:wordWrap/>
        <w:overflowPunct/>
        <w:topLinePunct w:val="0"/>
        <w:autoSpaceDE/>
        <w:autoSpaceDN/>
        <w:bidi w:val="0"/>
        <w:spacing w:line="420" w:lineRule="exact"/>
        <w:ind w:firstLine="422" w:firstLineChars="200"/>
        <w:textAlignment w:val="auto"/>
        <w:rPr>
          <w:rFonts w:hint="default" w:ascii="宋体" w:hAnsi="宋体" w:eastAsia="宋体" w:cs="宋体"/>
          <w:highlight w:val="none"/>
          <w:lang w:val="en-US" w:eastAsia="zh-CN"/>
        </w:rPr>
      </w:pPr>
      <w:bookmarkStart w:id="378" w:name="_Toc35425077"/>
      <w:bookmarkStart w:id="379" w:name="_Toc14473"/>
      <w:bookmarkStart w:id="380" w:name="_Toc15058870"/>
      <w:bookmarkStart w:id="381" w:name="_Toc78803346"/>
      <w:bookmarkStart w:id="382" w:name="_Toc35424911"/>
      <w:r>
        <w:rPr>
          <w:rFonts w:hint="eastAsia" w:ascii="宋体" w:hAnsi="宋体" w:eastAsia="宋体" w:cs="宋体"/>
          <w:highlight w:val="none"/>
        </w:rPr>
        <w:t>4.1投标文件</w:t>
      </w:r>
      <w:bookmarkEnd w:id="378"/>
      <w:bookmarkEnd w:id="379"/>
      <w:bookmarkEnd w:id="380"/>
      <w:bookmarkEnd w:id="381"/>
      <w:bookmarkEnd w:id="382"/>
      <w:r>
        <w:rPr>
          <w:rFonts w:hint="eastAsia" w:ascii="宋体" w:hAnsi="宋体" w:eastAsia="宋体" w:cs="宋体"/>
          <w:highlight w:val="none"/>
          <w:lang w:val="en-US" w:eastAsia="zh-CN"/>
        </w:rPr>
        <w:t>的提交</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rPr>
        <w:t>4.1.1</w:t>
      </w:r>
      <w:r>
        <w:rPr>
          <w:rFonts w:hint="eastAsia" w:ascii="宋体" w:hAnsi="宋体" w:eastAsia="宋体" w:cs="宋体"/>
          <w:szCs w:val="21"/>
          <w:highlight w:val="none"/>
          <w:lang w:val="en-US" w:eastAsia="zh-CN"/>
        </w:rPr>
        <w:t>各投标人须在投标文件截止时间前（202</w:t>
      </w:r>
      <w:r>
        <w:rPr>
          <w:rFonts w:hint="eastAsia" w:ascii="宋体" w:hAnsi="宋体" w:cs="宋体"/>
          <w:szCs w:val="21"/>
          <w:highlight w:val="none"/>
          <w:lang w:val="en-US" w:eastAsia="zh-CN"/>
        </w:rPr>
        <w:t>4</w:t>
      </w:r>
      <w:r>
        <w:rPr>
          <w:rFonts w:hint="eastAsia" w:ascii="宋体" w:hAnsi="宋体" w:eastAsia="宋体" w:cs="宋体"/>
          <w:szCs w:val="21"/>
          <w:highlight w:val="none"/>
          <w:lang w:val="en-US" w:eastAsia="zh-CN"/>
        </w:rPr>
        <w:t>年</w:t>
      </w:r>
      <w:r>
        <w:rPr>
          <w:rFonts w:hint="eastAsia" w:ascii="宋体" w:hAnsi="宋体" w:cs="宋体"/>
          <w:szCs w:val="21"/>
          <w:highlight w:val="none"/>
          <w:lang w:val="en-US" w:eastAsia="zh-CN"/>
        </w:rPr>
        <w:t>12</w:t>
      </w:r>
      <w:r>
        <w:rPr>
          <w:rFonts w:hint="eastAsia" w:ascii="宋体" w:hAnsi="宋体" w:eastAsia="宋体" w:cs="宋体"/>
          <w:szCs w:val="21"/>
          <w:highlight w:val="none"/>
          <w:lang w:val="en-US" w:eastAsia="zh-CN"/>
        </w:rPr>
        <w:t>月</w:t>
      </w:r>
      <w:r>
        <w:rPr>
          <w:rFonts w:hint="eastAsia" w:ascii="宋体" w:hAnsi="宋体" w:cs="宋体"/>
          <w:szCs w:val="21"/>
          <w:highlight w:val="none"/>
          <w:lang w:val="en-US" w:eastAsia="zh-CN"/>
        </w:rPr>
        <w:t>31</w:t>
      </w:r>
      <w:r>
        <w:rPr>
          <w:rFonts w:hint="eastAsia" w:ascii="宋体" w:hAnsi="宋体" w:eastAsia="宋体" w:cs="宋体"/>
          <w:szCs w:val="21"/>
          <w:highlight w:val="none"/>
          <w:lang w:val="en-US" w:eastAsia="zh-CN"/>
        </w:rPr>
        <w:fldChar w:fldCharType="begin"/>
      </w:r>
      <w:r>
        <w:rPr>
          <w:rFonts w:hint="eastAsia" w:ascii="宋体" w:hAnsi="宋体" w:eastAsia="宋体" w:cs="宋体"/>
          <w:szCs w:val="21"/>
          <w:highlight w:val="none"/>
          <w:lang w:val="en-US" w:eastAsia="zh-CN"/>
        </w:rPr>
        <w:instrText xml:space="preserve"> HYPERLINK "mailto:日14时00分前）将投标文件以电子邮件的方式一次性发送至czsctgczx@163.com（滁州市城投工程咨询管理有限公司邮箱），投标文件格式限定为加密PDF格式，将文件命名为\“投标单位名称+项目名称\”，未在规定时间内发送加密PDF格式投标文件，投标将被拒绝，投标文件送达时间以滁州市城投工程咨询管理有限公司邮箱显示的邮件送达时间为准，若投标人重复发送电子投标文件的，将以2022年" </w:instrText>
      </w:r>
      <w:r>
        <w:rPr>
          <w:rFonts w:hint="eastAsia" w:ascii="宋体" w:hAnsi="宋体" w:eastAsia="宋体" w:cs="宋体"/>
          <w:szCs w:val="21"/>
          <w:highlight w:val="none"/>
          <w:lang w:val="en-US" w:eastAsia="zh-CN"/>
        </w:rPr>
        <w:fldChar w:fldCharType="separate"/>
      </w:r>
      <w:r>
        <w:rPr>
          <w:rFonts w:hint="eastAsia" w:ascii="宋体" w:hAnsi="宋体" w:eastAsia="宋体" w:cs="宋体"/>
          <w:szCs w:val="21"/>
          <w:highlight w:val="none"/>
          <w:lang w:val="en-US" w:eastAsia="zh-CN"/>
        </w:rPr>
        <w:t>日</w:t>
      </w:r>
      <w:r>
        <w:rPr>
          <w:rFonts w:hint="eastAsia" w:ascii="宋体" w:hAnsi="宋体" w:cs="宋体"/>
          <w:szCs w:val="21"/>
          <w:highlight w:val="none"/>
          <w:lang w:val="en-US" w:eastAsia="zh-CN"/>
        </w:rPr>
        <w:t>9</w:t>
      </w:r>
      <w:r>
        <w:rPr>
          <w:rFonts w:hint="eastAsia" w:ascii="宋体" w:hAnsi="宋体" w:eastAsia="宋体" w:cs="宋体"/>
          <w:szCs w:val="21"/>
          <w:highlight w:val="none"/>
          <w:lang w:val="en-US" w:eastAsia="zh-CN"/>
        </w:rPr>
        <w:t>时</w:t>
      </w:r>
      <w:r>
        <w:rPr>
          <w:rFonts w:hint="eastAsia" w:ascii="宋体" w:hAnsi="宋体" w:cs="宋体"/>
          <w:szCs w:val="21"/>
          <w:highlight w:val="none"/>
          <w:lang w:val="en-US" w:eastAsia="zh-CN"/>
        </w:rPr>
        <w:t>0</w:t>
      </w:r>
      <w:r>
        <w:rPr>
          <w:rFonts w:hint="eastAsia" w:ascii="宋体" w:hAnsi="宋体" w:eastAsia="宋体" w:cs="宋体"/>
          <w:szCs w:val="21"/>
          <w:highlight w:val="none"/>
          <w:lang w:val="en-US" w:eastAsia="zh-CN"/>
        </w:rPr>
        <w:t>0分前）将投标文件以电子邮件的方式一次性发送至</w:t>
      </w:r>
      <w:r>
        <w:rPr>
          <w:rFonts w:hint="eastAsia" w:ascii="宋体" w:hAnsi="宋体" w:cs="宋体"/>
          <w:szCs w:val="21"/>
          <w:highlight w:val="none"/>
          <w:lang w:val="en-US" w:eastAsia="zh-CN"/>
        </w:rPr>
        <w:t>czsctzx@163.com</w:t>
      </w:r>
      <w:r>
        <w:rPr>
          <w:rFonts w:hint="eastAsia" w:ascii="宋体" w:hAnsi="宋体" w:eastAsia="宋体" w:cs="宋体"/>
          <w:szCs w:val="21"/>
          <w:highlight w:val="none"/>
          <w:lang w:val="en-US" w:eastAsia="zh-CN"/>
        </w:rPr>
        <w:t>（滁州市城投工程咨询管理有限公司邮箱），投标文件格式限定为加密PDF格式，将文件命名为“投标单位名称+项目名称+联系人及联系电话”，未在规定时间内发送加密PDF格式投标文件，投标将被拒绝，投标文件送达时间以滁州市城投工程咨询管理有限公司邮箱显示的邮件送达时间为准，若投标人重复发送电子投标文件的，将以202</w:t>
      </w:r>
      <w:r>
        <w:rPr>
          <w:rFonts w:hint="eastAsia" w:ascii="宋体" w:hAnsi="宋体" w:cs="宋体"/>
          <w:szCs w:val="21"/>
          <w:highlight w:val="none"/>
          <w:lang w:val="en-US" w:eastAsia="zh-CN"/>
        </w:rPr>
        <w:t>4</w:t>
      </w:r>
      <w:r>
        <w:rPr>
          <w:rFonts w:hint="eastAsia" w:ascii="宋体" w:hAnsi="宋体" w:eastAsia="宋体" w:cs="宋体"/>
          <w:szCs w:val="21"/>
          <w:highlight w:val="none"/>
          <w:lang w:val="en-US" w:eastAsia="zh-CN"/>
        </w:rPr>
        <w:t>年</w:t>
      </w:r>
      <w:r>
        <w:rPr>
          <w:rFonts w:hint="eastAsia" w:ascii="宋体" w:hAnsi="宋体" w:eastAsia="宋体" w:cs="宋体"/>
          <w:szCs w:val="21"/>
          <w:highlight w:val="none"/>
          <w:lang w:val="en-US" w:eastAsia="zh-CN"/>
        </w:rPr>
        <w:fldChar w:fldCharType="end"/>
      </w:r>
      <w:r>
        <w:rPr>
          <w:rFonts w:hint="eastAsia" w:ascii="宋体" w:hAnsi="宋体" w:cs="宋体"/>
          <w:szCs w:val="21"/>
          <w:highlight w:val="none"/>
          <w:lang w:val="en-US" w:eastAsia="zh-CN"/>
        </w:rPr>
        <w:t>12</w:t>
      </w:r>
      <w:r>
        <w:rPr>
          <w:rFonts w:hint="eastAsia" w:ascii="宋体" w:hAnsi="宋体" w:eastAsia="宋体" w:cs="宋体"/>
          <w:szCs w:val="21"/>
          <w:highlight w:val="none"/>
          <w:lang w:val="en-US" w:eastAsia="zh-CN"/>
        </w:rPr>
        <w:t>月</w:t>
      </w:r>
      <w:r>
        <w:rPr>
          <w:rFonts w:hint="eastAsia" w:ascii="宋体" w:hAnsi="宋体" w:cs="宋体"/>
          <w:szCs w:val="21"/>
          <w:highlight w:val="none"/>
          <w:lang w:val="en-US" w:eastAsia="zh-CN"/>
        </w:rPr>
        <w:t>31</w:t>
      </w:r>
      <w:r>
        <w:rPr>
          <w:rFonts w:hint="eastAsia" w:ascii="宋体" w:hAnsi="宋体" w:eastAsia="宋体" w:cs="宋体"/>
          <w:szCs w:val="21"/>
          <w:highlight w:val="none"/>
          <w:lang w:val="en-US" w:eastAsia="zh-CN"/>
        </w:rPr>
        <w:t>日</w:t>
      </w:r>
      <w:r>
        <w:rPr>
          <w:rFonts w:hint="eastAsia" w:ascii="宋体" w:hAnsi="宋体" w:cs="宋体"/>
          <w:szCs w:val="21"/>
          <w:highlight w:val="none"/>
          <w:lang w:val="en-US" w:eastAsia="zh-CN"/>
        </w:rPr>
        <w:t>9</w:t>
      </w:r>
      <w:r>
        <w:rPr>
          <w:rFonts w:hint="eastAsia" w:ascii="宋体" w:hAnsi="宋体" w:eastAsia="宋体" w:cs="宋体"/>
          <w:szCs w:val="21"/>
          <w:highlight w:val="none"/>
          <w:lang w:val="en-US" w:eastAsia="zh-CN"/>
        </w:rPr>
        <w:t>时</w:t>
      </w:r>
      <w:r>
        <w:rPr>
          <w:rFonts w:hint="eastAsia" w:ascii="宋体" w:hAnsi="宋体" w:cs="宋体"/>
          <w:szCs w:val="21"/>
          <w:highlight w:val="none"/>
          <w:lang w:val="en-US" w:eastAsia="zh-CN"/>
        </w:rPr>
        <w:t>0</w:t>
      </w:r>
      <w:r>
        <w:rPr>
          <w:rFonts w:hint="eastAsia" w:ascii="宋体" w:hAnsi="宋体" w:eastAsia="宋体" w:cs="宋体"/>
          <w:szCs w:val="21"/>
          <w:highlight w:val="none"/>
          <w:lang w:val="en-US" w:eastAsia="zh-CN"/>
        </w:rPr>
        <w:t>0分前最后收到的投标文件为准,投标文件无法打开的，由投标人自行承担后果。</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4.1.2各投标人在202</w:t>
      </w:r>
      <w:r>
        <w:rPr>
          <w:rFonts w:hint="eastAsia" w:ascii="宋体" w:hAnsi="宋体" w:cs="宋体"/>
          <w:szCs w:val="21"/>
          <w:highlight w:val="none"/>
          <w:lang w:val="en-US" w:eastAsia="zh-CN"/>
        </w:rPr>
        <w:t>4</w:t>
      </w:r>
      <w:r>
        <w:rPr>
          <w:rFonts w:hint="eastAsia" w:ascii="宋体" w:hAnsi="宋体" w:eastAsia="宋体" w:cs="宋体"/>
          <w:szCs w:val="21"/>
          <w:highlight w:val="none"/>
          <w:lang w:val="en-US" w:eastAsia="zh-CN"/>
        </w:rPr>
        <w:t>年</w:t>
      </w:r>
      <w:r>
        <w:rPr>
          <w:rFonts w:hint="eastAsia" w:ascii="宋体" w:hAnsi="宋体" w:cs="宋体"/>
          <w:szCs w:val="21"/>
          <w:highlight w:val="none"/>
          <w:lang w:val="en-US" w:eastAsia="zh-CN"/>
        </w:rPr>
        <w:t>12</w:t>
      </w:r>
      <w:r>
        <w:rPr>
          <w:rFonts w:hint="eastAsia" w:ascii="宋体" w:hAnsi="宋体" w:eastAsia="宋体" w:cs="宋体"/>
          <w:szCs w:val="21"/>
          <w:highlight w:val="none"/>
          <w:lang w:val="en-US" w:eastAsia="zh-CN"/>
        </w:rPr>
        <w:t>月</w:t>
      </w:r>
      <w:r>
        <w:rPr>
          <w:rFonts w:hint="eastAsia" w:ascii="宋体" w:hAnsi="宋体" w:cs="宋体"/>
          <w:szCs w:val="21"/>
          <w:highlight w:val="none"/>
          <w:lang w:val="en-US" w:eastAsia="zh-CN"/>
        </w:rPr>
        <w:t>31</w:t>
      </w:r>
      <w:r>
        <w:rPr>
          <w:rFonts w:hint="eastAsia" w:ascii="宋体" w:hAnsi="宋体" w:eastAsia="宋体" w:cs="宋体"/>
          <w:szCs w:val="21"/>
          <w:highlight w:val="none"/>
          <w:lang w:val="en-US" w:eastAsia="zh-CN"/>
        </w:rPr>
        <w:t>日</w:t>
      </w:r>
      <w:r>
        <w:rPr>
          <w:rFonts w:hint="eastAsia" w:ascii="宋体" w:hAnsi="宋体" w:cs="宋体"/>
          <w:szCs w:val="21"/>
          <w:highlight w:val="none"/>
          <w:lang w:val="en-US" w:eastAsia="zh-CN"/>
        </w:rPr>
        <w:t>9</w:t>
      </w:r>
      <w:r>
        <w:rPr>
          <w:rFonts w:hint="eastAsia" w:ascii="宋体" w:hAnsi="宋体" w:eastAsia="宋体" w:cs="宋体"/>
          <w:szCs w:val="21"/>
          <w:highlight w:val="none"/>
          <w:lang w:val="en-US" w:eastAsia="zh-CN"/>
        </w:rPr>
        <w:t>时</w:t>
      </w:r>
      <w:r>
        <w:rPr>
          <w:rFonts w:hint="eastAsia" w:ascii="宋体" w:hAnsi="宋体" w:cs="宋体"/>
          <w:szCs w:val="21"/>
          <w:highlight w:val="none"/>
          <w:lang w:val="en-US" w:eastAsia="zh-CN"/>
        </w:rPr>
        <w:t>0</w:t>
      </w:r>
      <w:r>
        <w:rPr>
          <w:rFonts w:hint="eastAsia" w:ascii="宋体" w:hAnsi="宋体" w:eastAsia="宋体" w:cs="宋体"/>
          <w:szCs w:val="21"/>
          <w:highlight w:val="none"/>
          <w:lang w:val="en-US" w:eastAsia="zh-CN"/>
        </w:rPr>
        <w:t>0分至202</w:t>
      </w:r>
      <w:r>
        <w:rPr>
          <w:rFonts w:hint="eastAsia" w:ascii="宋体" w:hAnsi="宋体" w:cs="宋体"/>
          <w:szCs w:val="21"/>
          <w:highlight w:val="none"/>
          <w:lang w:val="en-US" w:eastAsia="zh-CN"/>
        </w:rPr>
        <w:t>4</w:t>
      </w:r>
      <w:r>
        <w:rPr>
          <w:rFonts w:hint="eastAsia" w:ascii="宋体" w:hAnsi="宋体" w:eastAsia="宋体" w:cs="宋体"/>
          <w:szCs w:val="21"/>
          <w:highlight w:val="none"/>
          <w:lang w:val="en-US" w:eastAsia="zh-CN"/>
        </w:rPr>
        <w:t>年</w:t>
      </w:r>
      <w:r>
        <w:rPr>
          <w:rFonts w:hint="eastAsia" w:ascii="宋体" w:hAnsi="宋体" w:cs="宋体"/>
          <w:szCs w:val="21"/>
          <w:highlight w:val="none"/>
          <w:lang w:val="en-US" w:eastAsia="zh-CN"/>
        </w:rPr>
        <w:t>12</w:t>
      </w:r>
      <w:r>
        <w:rPr>
          <w:rFonts w:hint="eastAsia" w:ascii="宋体" w:hAnsi="宋体" w:eastAsia="宋体" w:cs="宋体"/>
          <w:szCs w:val="21"/>
          <w:highlight w:val="none"/>
          <w:lang w:val="en-US" w:eastAsia="zh-CN"/>
        </w:rPr>
        <w:t>月</w:t>
      </w:r>
      <w:r>
        <w:rPr>
          <w:rFonts w:hint="eastAsia" w:ascii="宋体" w:hAnsi="宋体" w:cs="宋体"/>
          <w:szCs w:val="21"/>
          <w:highlight w:val="none"/>
          <w:lang w:val="en-US" w:eastAsia="zh-CN"/>
        </w:rPr>
        <w:t>31</w:t>
      </w:r>
      <w:r>
        <w:rPr>
          <w:rFonts w:hint="eastAsia" w:ascii="宋体" w:hAnsi="宋体" w:eastAsia="宋体" w:cs="宋体"/>
          <w:szCs w:val="21"/>
          <w:highlight w:val="none"/>
          <w:lang w:val="en-US" w:eastAsia="zh-CN"/>
        </w:rPr>
        <w:t>日</w:t>
      </w:r>
      <w:r>
        <w:rPr>
          <w:rFonts w:hint="eastAsia" w:ascii="宋体" w:hAnsi="宋体" w:cs="宋体"/>
          <w:szCs w:val="21"/>
          <w:highlight w:val="none"/>
          <w:lang w:val="en-US" w:eastAsia="zh-CN"/>
        </w:rPr>
        <w:t>9</w:t>
      </w:r>
      <w:r>
        <w:rPr>
          <w:rFonts w:hint="eastAsia" w:ascii="宋体" w:hAnsi="宋体" w:eastAsia="宋体" w:cs="宋体"/>
          <w:szCs w:val="21"/>
          <w:highlight w:val="none"/>
          <w:lang w:val="en-US" w:eastAsia="zh-CN"/>
        </w:rPr>
        <w:fldChar w:fldCharType="begin"/>
      </w:r>
      <w:r>
        <w:rPr>
          <w:rFonts w:hint="eastAsia" w:ascii="宋体" w:hAnsi="宋体" w:eastAsia="宋体" w:cs="宋体"/>
          <w:szCs w:val="21"/>
          <w:highlight w:val="none"/>
          <w:lang w:val="en-US" w:eastAsia="zh-CN"/>
        </w:rPr>
        <w:instrText xml:space="preserve"> HYPERLINK "mailto:时30分内将投标文件的密码（投标单位名称+密码）发送至czsctgczx@163.com（滁州市城投工程咨询管理有限公司邮箱）。未在规定时间内发送密码的，投标将被拒绝。" </w:instrText>
      </w:r>
      <w:r>
        <w:rPr>
          <w:rFonts w:hint="eastAsia" w:ascii="宋体" w:hAnsi="宋体" w:eastAsia="宋体" w:cs="宋体"/>
          <w:szCs w:val="21"/>
          <w:highlight w:val="none"/>
          <w:lang w:val="en-US" w:eastAsia="zh-CN"/>
        </w:rPr>
        <w:fldChar w:fldCharType="separate"/>
      </w:r>
      <w:r>
        <w:rPr>
          <w:rFonts w:hint="eastAsia" w:ascii="宋体" w:hAnsi="宋体" w:eastAsia="宋体" w:cs="宋体"/>
          <w:szCs w:val="21"/>
          <w:highlight w:val="none"/>
          <w:lang w:val="en-US" w:eastAsia="zh-CN"/>
        </w:rPr>
        <w:t>时</w:t>
      </w:r>
      <w:r>
        <w:rPr>
          <w:rFonts w:hint="eastAsia" w:ascii="宋体" w:hAnsi="宋体" w:cs="宋体"/>
          <w:szCs w:val="21"/>
          <w:highlight w:val="none"/>
          <w:lang w:val="en-US" w:eastAsia="zh-CN"/>
        </w:rPr>
        <w:t>3</w:t>
      </w:r>
      <w:r>
        <w:rPr>
          <w:rFonts w:hint="eastAsia" w:ascii="宋体" w:hAnsi="宋体" w:eastAsia="宋体" w:cs="宋体"/>
          <w:szCs w:val="21"/>
          <w:highlight w:val="none"/>
          <w:lang w:val="en-US" w:eastAsia="zh-CN"/>
        </w:rPr>
        <w:t>0分内将投标文件的密码（投标单位名称+密码）发送至</w:t>
      </w:r>
      <w:r>
        <w:rPr>
          <w:rFonts w:hint="eastAsia" w:ascii="宋体" w:hAnsi="宋体" w:cs="宋体"/>
          <w:szCs w:val="21"/>
          <w:highlight w:val="none"/>
          <w:lang w:val="en-US" w:eastAsia="zh-CN"/>
        </w:rPr>
        <w:t>czsctzx@163.com</w:t>
      </w:r>
      <w:r>
        <w:rPr>
          <w:rFonts w:hint="eastAsia" w:ascii="宋体" w:hAnsi="宋体" w:eastAsia="宋体" w:cs="宋体"/>
          <w:szCs w:val="21"/>
          <w:highlight w:val="none"/>
          <w:lang w:val="en-US" w:eastAsia="zh-CN"/>
        </w:rPr>
        <w:t>（滁州市城投工程咨询管理有限公司邮箱）。未在规定时间内发送密码的，投标将被拒绝。</w:t>
      </w:r>
      <w:r>
        <w:rPr>
          <w:rFonts w:hint="eastAsia" w:ascii="宋体" w:hAnsi="宋体" w:eastAsia="宋体" w:cs="宋体"/>
          <w:szCs w:val="21"/>
          <w:highlight w:val="none"/>
          <w:lang w:val="en-US" w:eastAsia="zh-CN"/>
        </w:rPr>
        <w:fldChar w:fldCharType="end"/>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383" w:name="_Toc35425080"/>
      <w:bookmarkStart w:id="384" w:name="_Toc246996202"/>
      <w:bookmarkStart w:id="385" w:name="_Toc246996945"/>
      <w:bookmarkStart w:id="386" w:name="_Toc506107294"/>
      <w:bookmarkStart w:id="387" w:name="_Toc152045558"/>
      <w:bookmarkStart w:id="388" w:name="_Toc19572"/>
      <w:bookmarkStart w:id="389" w:name="_Toc247085716"/>
      <w:bookmarkStart w:id="390" w:name="_Toc324404841"/>
      <w:bookmarkStart w:id="391" w:name="_Toc78803347"/>
      <w:bookmarkStart w:id="392" w:name="_Toc35424914"/>
      <w:bookmarkStart w:id="393" w:name="_Toc179632576"/>
      <w:bookmarkStart w:id="394" w:name="_Toc296602446"/>
      <w:bookmarkStart w:id="395" w:name="_Toc152042334"/>
      <w:bookmarkStart w:id="396" w:name="_Toc15058873"/>
      <w:bookmarkStart w:id="397" w:name="_Toc144974526"/>
      <w:r>
        <w:rPr>
          <w:rFonts w:hint="eastAsia" w:ascii="宋体" w:hAnsi="宋体" w:eastAsia="宋体" w:cs="宋体"/>
          <w:highlight w:val="none"/>
        </w:rPr>
        <w:t>4.</w:t>
      </w:r>
      <w:r>
        <w:rPr>
          <w:rFonts w:hint="eastAsia" w:ascii="宋体" w:hAnsi="宋体" w:eastAsia="宋体" w:cs="宋体"/>
          <w:highlight w:val="none"/>
          <w:lang w:val="en-US" w:eastAsia="zh-CN"/>
        </w:rPr>
        <w:t>2</w:t>
      </w:r>
      <w:r>
        <w:rPr>
          <w:rFonts w:hint="eastAsia" w:ascii="宋体" w:hAnsi="宋体" w:eastAsia="宋体" w:cs="宋体"/>
          <w:highlight w:val="none"/>
        </w:rPr>
        <w:t xml:space="preserve"> 投标文件的修改与撤回</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ageBreakBefore w:val="0"/>
        <w:widowControl w:val="0"/>
        <w:kinsoku/>
        <w:wordWrap/>
        <w:overflowPunct/>
        <w:topLinePunct w:val="0"/>
        <w:autoSpaceDE/>
        <w:autoSpaceDN/>
        <w:bidi w:val="0"/>
        <w:spacing w:line="420" w:lineRule="exact"/>
        <w:ind w:firstLine="422" w:firstLineChars="200"/>
        <w:jc w:val="left"/>
        <w:textAlignment w:val="auto"/>
        <w:rPr>
          <w:rFonts w:ascii="宋体" w:hAnsi="宋体" w:cs="宋体"/>
          <w:szCs w:val="21"/>
          <w:highlight w:val="none"/>
        </w:rPr>
      </w:pPr>
      <w:r>
        <w:rPr>
          <w:rFonts w:hint="eastAsia" w:ascii="宋体" w:hAnsi="宋体" w:cs="宋体"/>
          <w:b/>
          <w:szCs w:val="21"/>
          <w:highlight w:val="none"/>
        </w:rPr>
        <w:t>4.</w:t>
      </w:r>
      <w:r>
        <w:rPr>
          <w:rFonts w:hint="eastAsia" w:ascii="宋体" w:hAnsi="宋体" w:cs="宋体"/>
          <w:b/>
          <w:szCs w:val="21"/>
          <w:highlight w:val="none"/>
          <w:lang w:val="en-US" w:eastAsia="zh-CN"/>
        </w:rPr>
        <w:t>2</w:t>
      </w:r>
      <w:r>
        <w:rPr>
          <w:rFonts w:hint="eastAsia" w:ascii="宋体" w:hAnsi="宋体" w:cs="宋体"/>
          <w:b/>
          <w:szCs w:val="21"/>
          <w:highlight w:val="none"/>
        </w:rPr>
        <w:t>.1 在规定的投标截止时间前，投标人可以自行从</w:t>
      </w:r>
      <w:r>
        <w:rPr>
          <w:rFonts w:hint="eastAsia" w:ascii="宋体" w:hAnsi="宋体" w:cs="宋体"/>
          <w:b/>
          <w:szCs w:val="21"/>
          <w:highlight w:val="none"/>
          <w:lang w:val="en-US" w:eastAsia="zh-CN"/>
        </w:rPr>
        <w:t>邮箱</w:t>
      </w:r>
      <w:r>
        <w:rPr>
          <w:rFonts w:hint="eastAsia" w:ascii="宋体" w:hAnsi="宋体" w:cs="宋体"/>
          <w:b/>
          <w:szCs w:val="21"/>
          <w:highlight w:val="none"/>
        </w:rPr>
        <w:t>撤回已递交的投标文件，并可修改后重新上传，开标时以投标截止时间前投标人最终上传的投标文件为准。</w:t>
      </w:r>
    </w:p>
    <w:p>
      <w:pPr>
        <w:pStyle w:val="6"/>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sz w:val="24"/>
          <w:szCs w:val="24"/>
          <w:highlight w:val="none"/>
        </w:rPr>
      </w:pPr>
      <w:bookmarkStart w:id="398" w:name="_Toc144974527"/>
      <w:bookmarkStart w:id="399" w:name="_Toc506107295"/>
      <w:bookmarkStart w:id="400" w:name="_Toc247085717"/>
      <w:bookmarkStart w:id="401" w:name="_Toc179632577"/>
      <w:bookmarkStart w:id="402" w:name="_Toc246996946"/>
      <w:bookmarkStart w:id="403" w:name="_Toc152045559"/>
      <w:bookmarkStart w:id="404" w:name="_Toc78803348"/>
      <w:bookmarkStart w:id="405" w:name="_Toc152042335"/>
      <w:bookmarkStart w:id="406" w:name="_Toc35425081"/>
      <w:bookmarkStart w:id="407" w:name="_Toc15058874"/>
      <w:bookmarkStart w:id="408" w:name="_Toc324404842"/>
      <w:bookmarkStart w:id="409" w:name="_Toc29639"/>
      <w:bookmarkStart w:id="410" w:name="_Toc35424915"/>
      <w:bookmarkStart w:id="411" w:name="_Toc246996203"/>
      <w:r>
        <w:rPr>
          <w:rFonts w:hint="eastAsia" w:ascii="宋体" w:hAnsi="宋体" w:eastAsia="宋体" w:cs="宋体"/>
          <w:sz w:val="24"/>
          <w:szCs w:val="24"/>
          <w:highlight w:val="none"/>
        </w:rPr>
        <w:t>5. 开标</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412" w:name="_Toc35425082"/>
      <w:bookmarkStart w:id="413" w:name="_Toc13691"/>
      <w:bookmarkStart w:id="414" w:name="_Toc144974528"/>
      <w:bookmarkStart w:id="415" w:name="_Toc35424916"/>
      <w:bookmarkStart w:id="416" w:name="_Toc246996204"/>
      <w:bookmarkStart w:id="417" w:name="_Toc506107296"/>
      <w:bookmarkStart w:id="418" w:name="_Toc296602448"/>
      <w:bookmarkStart w:id="419" w:name="_Toc152045560"/>
      <w:bookmarkStart w:id="420" w:name="_Toc246996947"/>
      <w:bookmarkStart w:id="421" w:name="_Toc15058875"/>
      <w:bookmarkStart w:id="422" w:name="_Toc324404843"/>
      <w:bookmarkStart w:id="423" w:name="_Toc78803349"/>
      <w:bookmarkStart w:id="424" w:name="_Toc152042336"/>
      <w:bookmarkStart w:id="425" w:name="_Toc179632578"/>
      <w:bookmarkStart w:id="426" w:name="_Toc247085718"/>
      <w:r>
        <w:rPr>
          <w:rFonts w:hint="eastAsia" w:ascii="宋体" w:hAnsi="宋体" w:eastAsia="宋体" w:cs="宋体"/>
          <w:highlight w:val="none"/>
        </w:rPr>
        <w:t>5.1 开标时间和地点</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招标人在投标人须知前附表规定的投标截止时间（开标时间）和地点公开开标。</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427" w:name="_Toc144974529"/>
      <w:bookmarkStart w:id="428" w:name="_Toc296602449"/>
      <w:bookmarkStart w:id="429" w:name="_Toc179632579"/>
      <w:bookmarkStart w:id="430" w:name="_Toc324404844"/>
      <w:bookmarkStart w:id="431" w:name="_Toc35424917"/>
      <w:bookmarkStart w:id="432" w:name="_Toc246996205"/>
      <w:bookmarkStart w:id="433" w:name="_Toc15058876"/>
      <w:bookmarkStart w:id="434" w:name="_Toc78803350"/>
      <w:bookmarkStart w:id="435" w:name="_Toc32451"/>
      <w:bookmarkStart w:id="436" w:name="_Toc506107297"/>
      <w:bookmarkStart w:id="437" w:name="_Toc152045561"/>
      <w:bookmarkStart w:id="438" w:name="_Toc152042337"/>
      <w:bookmarkStart w:id="439" w:name="_Toc35425083"/>
      <w:bookmarkStart w:id="440" w:name="_Toc246996948"/>
      <w:bookmarkStart w:id="441" w:name="_Toc247085719"/>
      <w:r>
        <w:rPr>
          <w:rFonts w:hint="eastAsia" w:ascii="宋体" w:hAnsi="宋体" w:eastAsia="宋体" w:cs="宋体"/>
          <w:highlight w:val="none"/>
        </w:rPr>
        <w:t>5.2 开标程序</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主持人按下列程序进行开标：</w:t>
      </w:r>
      <w:bookmarkStart w:id="442" w:name="_Toc296602450"/>
      <w:bookmarkStart w:id="443" w:name="_Toc324404845"/>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bookmarkStart w:id="444" w:name="_Toc15058877"/>
      <w:bookmarkStart w:id="445" w:name="_Toc506107298"/>
      <w:r>
        <w:rPr>
          <w:rFonts w:hint="eastAsia" w:ascii="宋体" w:hAnsi="宋体" w:cs="宋体"/>
          <w:szCs w:val="21"/>
          <w:highlight w:val="none"/>
        </w:rPr>
        <w:t>（1）宣布开标纪律；</w:t>
      </w:r>
      <w:bookmarkEnd w:id="444"/>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bookmarkStart w:id="446" w:name="_Toc15058878"/>
      <w:r>
        <w:rPr>
          <w:rFonts w:hint="eastAsia" w:ascii="宋体" w:hAnsi="宋体" w:cs="宋体"/>
          <w:szCs w:val="21"/>
          <w:highlight w:val="none"/>
        </w:rPr>
        <w:t>（2）宣布招标人、代理机构主持人等有关人员姓名；</w:t>
      </w:r>
      <w:bookmarkEnd w:id="446"/>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bookmarkStart w:id="447" w:name="_Toc15058881"/>
      <w:r>
        <w:rPr>
          <w:rFonts w:hint="eastAsia" w:ascii="宋体" w:hAnsi="宋体" w:cs="宋体"/>
          <w:szCs w:val="21"/>
          <w:highlight w:val="none"/>
        </w:rPr>
        <w:t>（</w:t>
      </w:r>
      <w:r>
        <w:rPr>
          <w:rFonts w:hint="eastAsia" w:ascii="宋体" w:hAnsi="宋体" w:cs="宋体"/>
          <w:szCs w:val="21"/>
          <w:highlight w:val="none"/>
          <w:lang w:val="en-US" w:eastAsia="zh-CN"/>
        </w:rPr>
        <w:t>3</w:t>
      </w:r>
      <w:r>
        <w:rPr>
          <w:rFonts w:hint="eastAsia" w:ascii="宋体" w:hAnsi="宋体" w:cs="宋体"/>
          <w:szCs w:val="21"/>
          <w:highlight w:val="none"/>
        </w:rPr>
        <w:t>）公布投标人投标报价、质量目标、工期及其他内容，并记录在案；</w:t>
      </w:r>
      <w:bookmarkEnd w:id="44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bookmarkStart w:id="448" w:name="_Toc15058882"/>
      <w:r>
        <w:rPr>
          <w:rFonts w:hint="eastAsia" w:ascii="宋体" w:hAnsi="宋体" w:cs="宋体"/>
          <w:szCs w:val="21"/>
          <w:highlight w:val="none"/>
        </w:rPr>
        <w:t>（</w:t>
      </w:r>
      <w:r>
        <w:rPr>
          <w:rFonts w:hint="eastAsia" w:ascii="宋体" w:hAnsi="宋体" w:cs="宋体"/>
          <w:szCs w:val="21"/>
          <w:highlight w:val="none"/>
          <w:lang w:val="en-US" w:eastAsia="zh-CN"/>
        </w:rPr>
        <w:t>4</w:t>
      </w:r>
      <w:r>
        <w:rPr>
          <w:rFonts w:hint="eastAsia" w:ascii="宋体" w:hAnsi="宋体" w:cs="宋体"/>
          <w:szCs w:val="21"/>
          <w:highlight w:val="none"/>
        </w:rPr>
        <w:t>）开标结束。</w:t>
      </w:r>
      <w:bookmarkEnd w:id="448"/>
    </w:p>
    <w:bookmarkEnd w:id="442"/>
    <w:bookmarkEnd w:id="443"/>
    <w:bookmarkEnd w:id="445"/>
    <w:p>
      <w:pPr>
        <w:pStyle w:val="6"/>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sz w:val="24"/>
          <w:szCs w:val="24"/>
          <w:highlight w:val="none"/>
        </w:rPr>
      </w:pPr>
      <w:bookmarkStart w:id="449" w:name="_Toc179632580"/>
      <w:bookmarkStart w:id="450" w:name="_Toc506107299"/>
      <w:bookmarkStart w:id="451" w:name="_Toc78803352"/>
      <w:bookmarkStart w:id="452" w:name="_Toc246996206"/>
      <w:bookmarkStart w:id="453" w:name="_Toc15058884"/>
      <w:bookmarkStart w:id="454" w:name="_Toc152045562"/>
      <w:bookmarkStart w:id="455" w:name="_Toc246996949"/>
      <w:bookmarkStart w:id="456" w:name="_Toc324404846"/>
      <w:bookmarkStart w:id="457" w:name="_Toc247085720"/>
      <w:bookmarkStart w:id="458" w:name="_Toc35424919"/>
      <w:bookmarkStart w:id="459" w:name="_Toc35425085"/>
      <w:bookmarkStart w:id="460" w:name="_Toc144974530"/>
      <w:bookmarkStart w:id="461" w:name="_Toc152042338"/>
      <w:bookmarkStart w:id="462" w:name="_Toc20689"/>
      <w:r>
        <w:rPr>
          <w:rFonts w:hint="eastAsia" w:ascii="宋体" w:hAnsi="宋体" w:eastAsia="宋体" w:cs="宋体"/>
          <w:sz w:val="24"/>
          <w:szCs w:val="24"/>
          <w:highlight w:val="none"/>
        </w:rPr>
        <w:t>6. 评标</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463" w:name="_Toc14249"/>
      <w:bookmarkStart w:id="464" w:name="_Toc35425086"/>
      <w:bookmarkStart w:id="465" w:name="_Toc246996207"/>
      <w:bookmarkStart w:id="466" w:name="_Toc35424920"/>
      <w:bookmarkStart w:id="467" w:name="_Toc179632581"/>
      <w:bookmarkStart w:id="468" w:name="_Toc296602452"/>
      <w:bookmarkStart w:id="469" w:name="_Toc246996950"/>
      <w:bookmarkStart w:id="470" w:name="_Toc144974531"/>
      <w:bookmarkStart w:id="471" w:name="_Toc506107300"/>
      <w:bookmarkStart w:id="472" w:name="_Toc152042339"/>
      <w:bookmarkStart w:id="473" w:name="_Toc15058885"/>
      <w:bookmarkStart w:id="474" w:name="_Toc78803353"/>
      <w:bookmarkStart w:id="475" w:name="_Toc247085721"/>
      <w:bookmarkStart w:id="476" w:name="_Toc324404847"/>
      <w:bookmarkStart w:id="477" w:name="_Toc152045563"/>
      <w:r>
        <w:rPr>
          <w:rFonts w:hint="eastAsia" w:ascii="宋体" w:hAnsi="宋体" w:eastAsia="宋体" w:cs="宋体"/>
          <w:highlight w:val="none"/>
        </w:rPr>
        <w:t>6.1 评标委员会</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bookmarkStart w:id="478" w:name="_Toc78803354"/>
      <w:bookmarkStart w:id="479" w:name="_Toc152045564"/>
      <w:bookmarkStart w:id="480" w:name="_Toc152042340"/>
      <w:bookmarkStart w:id="481" w:name="_Toc15058886"/>
      <w:bookmarkStart w:id="482" w:name="_Toc144974532"/>
      <w:bookmarkStart w:id="483" w:name="_Toc246996951"/>
      <w:bookmarkStart w:id="484" w:name="_Toc296602453"/>
      <w:bookmarkStart w:id="485" w:name="_Toc247085722"/>
      <w:bookmarkStart w:id="486" w:name="_Toc179632582"/>
      <w:bookmarkStart w:id="487" w:name="_Toc35425087"/>
      <w:bookmarkStart w:id="488" w:name="_Toc246996208"/>
      <w:bookmarkStart w:id="489" w:name="_Toc324404848"/>
      <w:bookmarkStart w:id="490" w:name="_Toc35424921"/>
      <w:bookmarkStart w:id="491" w:name="_Toc12948"/>
      <w:bookmarkStart w:id="492" w:name="_Toc506107301"/>
      <w:r>
        <w:rPr>
          <w:rFonts w:hint="eastAsia" w:ascii="宋体" w:hAnsi="宋体" w:eastAsia="宋体" w:cs="宋体"/>
          <w:szCs w:val="21"/>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6.1.2 评标委员会成员有下列情形之一的，应当回避：</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（1）项目主管部门或行政监督管理部门，项目属地的公共资源交易综合管理部门、交易中心的工作人员；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（2）与竞争主体主要负责人或者授权参与交易的代理人有近亲属关系的人员；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（3）竞争主体的工作人员或者退休人员；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（4）竞争主体的上级主管、控股或者被控股单位等相关利害关系的人员，或任职单位与竞争主体单位为同一法定代表人的；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（5）存在其他法定回避情形的。</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项目实施主体及其子公司、下属单位、上级主管部门或者控股公司的工作人员或者退休人员不得以专家身份参与本单位或者代理项目的评标评审。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评标委员会或评审机构成员有前两款规定情形的，应当主动提出回避；已经进入的应当更换，被更换的成员评标评审意见无效。 </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6.1.3评标过程中，评标委员会成员有回避事由、擅离职守或因健康等原因不能继续评标的， 招标人有权更换。被更换的评标委员会成员作出的评审结论无效，由更换后的评标委员会成员重新进行评审。</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r>
        <w:rPr>
          <w:rFonts w:hint="eastAsia" w:ascii="宋体" w:hAnsi="宋体" w:eastAsia="宋体" w:cs="宋体"/>
          <w:highlight w:val="none"/>
        </w:rPr>
        <w:t>6.2 评标原则</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评标活动遵循公平、公正、科学和择优的原则。</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493" w:name="_Toc247085723"/>
      <w:bookmarkStart w:id="494" w:name="_Toc179632583"/>
      <w:bookmarkStart w:id="495" w:name="_Toc506107302"/>
      <w:bookmarkStart w:id="496" w:name="_Toc35425088"/>
      <w:bookmarkStart w:id="497" w:name="_Toc144974533"/>
      <w:bookmarkStart w:id="498" w:name="_Toc324404849"/>
      <w:bookmarkStart w:id="499" w:name="_Toc296602454"/>
      <w:bookmarkStart w:id="500" w:name="_Toc152045565"/>
      <w:bookmarkStart w:id="501" w:name="_Toc152042341"/>
      <w:bookmarkStart w:id="502" w:name="_Toc15058887"/>
      <w:bookmarkStart w:id="503" w:name="_Toc246996209"/>
      <w:bookmarkStart w:id="504" w:name="_Toc78803355"/>
      <w:bookmarkStart w:id="505" w:name="_Toc14892"/>
      <w:bookmarkStart w:id="506" w:name="_Toc246996952"/>
      <w:bookmarkStart w:id="507" w:name="_Toc35424922"/>
      <w:r>
        <w:rPr>
          <w:rFonts w:hint="eastAsia" w:ascii="宋体" w:hAnsi="宋体" w:eastAsia="宋体" w:cs="宋体"/>
          <w:highlight w:val="none"/>
        </w:rPr>
        <w:t>6.3 评标</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bookmarkStart w:id="508" w:name="_Toc247085724"/>
      <w:bookmarkStart w:id="509" w:name="_Toc324404850"/>
      <w:bookmarkStart w:id="510" w:name="_Toc152045566"/>
      <w:bookmarkStart w:id="511" w:name="_Toc179632584"/>
      <w:bookmarkStart w:id="512" w:name="_Toc152042342"/>
      <w:bookmarkStart w:id="513" w:name="_Toc246996210"/>
      <w:bookmarkStart w:id="514" w:name="_Toc144974534"/>
      <w:bookmarkStart w:id="515" w:name="_Toc246996953"/>
      <w:r>
        <w:rPr>
          <w:rFonts w:hint="eastAsia" w:ascii="宋体" w:hAnsi="宋体" w:cs="宋体"/>
          <w:szCs w:val="21"/>
          <w:highlight w:val="none"/>
        </w:rPr>
        <w:t>6.3.1评标委员会按照第三章“评标办法”规定的方法、评审因素、标准和程序对投标文件进行评审。第三章“评标办法”没有规定的方法、评审因素和标准，不作为评标依据。</w:t>
      </w:r>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6.3.2评标完成后，评标委员会应向招标人提交书面评标报告和中标候选人名单。评标委员会推荐中标候选人的人数见投标人须知前附表。</w:t>
      </w:r>
    </w:p>
    <w:p>
      <w:pPr>
        <w:pStyle w:val="6"/>
        <w:pageBreakBefore w:val="0"/>
        <w:widowControl w:val="0"/>
        <w:kinsoku/>
        <w:wordWrap/>
        <w:overflowPunct/>
        <w:topLinePunct w:val="0"/>
        <w:autoSpaceDE/>
        <w:autoSpaceDN/>
        <w:bidi w:val="0"/>
        <w:spacing w:beforeLines="50" w:afterLines="50" w:line="420" w:lineRule="exact"/>
        <w:ind w:firstLine="482" w:firstLineChars="200"/>
        <w:textAlignment w:val="auto"/>
        <w:rPr>
          <w:rFonts w:ascii="宋体" w:hAnsi="宋体" w:eastAsia="宋体" w:cs="宋体"/>
          <w:sz w:val="24"/>
          <w:szCs w:val="24"/>
          <w:highlight w:val="none"/>
        </w:rPr>
      </w:pPr>
      <w:bookmarkStart w:id="516" w:name="_Toc35424923"/>
      <w:bookmarkStart w:id="517" w:name="_Toc15058888"/>
      <w:bookmarkStart w:id="518" w:name="_Toc26182"/>
      <w:bookmarkStart w:id="519" w:name="_Toc506107303"/>
      <w:bookmarkStart w:id="520" w:name="_Toc35425089"/>
      <w:bookmarkStart w:id="521" w:name="_Toc78803356"/>
      <w:r>
        <w:rPr>
          <w:rFonts w:hint="eastAsia" w:ascii="宋体" w:hAnsi="宋体" w:eastAsia="宋体" w:cs="宋体"/>
          <w:sz w:val="24"/>
          <w:szCs w:val="24"/>
          <w:highlight w:val="none"/>
        </w:rPr>
        <w:t>7. 合同授予</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bookmarkStart w:id="522" w:name="_Toc60061472"/>
      <w:bookmarkStart w:id="523" w:name="_Toc95223374"/>
      <w:bookmarkStart w:id="524" w:name="_Toc324404852"/>
      <w:bookmarkStart w:id="525" w:name="_Toc506107305"/>
      <w:bookmarkStart w:id="526" w:name="_Toc15058890"/>
      <w:bookmarkStart w:id="527" w:name="_Toc83301726"/>
      <w:bookmarkStart w:id="528" w:name="_Toc296602457"/>
      <w:bookmarkStart w:id="529" w:name="_Toc4204"/>
      <w:bookmarkStart w:id="530" w:name="_Toc324404853"/>
      <w:bookmarkStart w:id="531" w:name="_Toc14692"/>
      <w:bookmarkStart w:id="532" w:name="_Toc247085726"/>
      <w:bookmarkStart w:id="533" w:name="_Toc35425093"/>
      <w:bookmarkStart w:id="534" w:name="_Toc506107306"/>
      <w:bookmarkStart w:id="535" w:name="_Toc35424927"/>
      <w:bookmarkStart w:id="536" w:name="_Toc144974536"/>
      <w:bookmarkStart w:id="537" w:name="_Toc15058891"/>
      <w:bookmarkStart w:id="538" w:name="_Toc246996212"/>
      <w:bookmarkStart w:id="539" w:name="_Toc152042344"/>
      <w:bookmarkStart w:id="540" w:name="_Toc78803360"/>
      <w:bookmarkStart w:id="541" w:name="_Toc296602458"/>
      <w:bookmarkStart w:id="542" w:name="_Toc246996955"/>
      <w:bookmarkStart w:id="543" w:name="_Toc152045568"/>
      <w:bookmarkStart w:id="544" w:name="_Toc179632586"/>
      <w:r>
        <w:rPr>
          <w:rFonts w:hint="eastAsia" w:ascii="宋体" w:hAnsi="宋体" w:eastAsia="宋体" w:cs="宋体"/>
          <w:highlight w:val="none"/>
        </w:rPr>
        <w:t>7.1 中标候选人公示</w:t>
      </w:r>
      <w:bookmarkEnd w:id="522"/>
      <w:bookmarkEnd w:id="523"/>
      <w:bookmarkEnd w:id="524"/>
      <w:bookmarkEnd w:id="525"/>
      <w:bookmarkEnd w:id="526"/>
      <w:bookmarkEnd w:id="527"/>
      <w:bookmarkEnd w:id="528"/>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招标人在收到评标报告之日起3日内，按照投标人须知前附表规定的公示媒介和期限依法公示。中标候选人公示期不得少于3日。</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r>
        <w:rPr>
          <w:rFonts w:hint="eastAsia" w:ascii="宋体" w:hAnsi="宋体" w:eastAsia="宋体" w:cs="宋体"/>
          <w:highlight w:val="none"/>
        </w:rPr>
        <w:t>7.2 评标结果异议</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投标人或其他利害关系人对评标结果有异议的，应在中标候选人公示期内提出。招标人将在收到异议之日起3日内作出答复；作出答复前，将暂停招标投标活动。</w:t>
      </w:r>
    </w:p>
    <w:bookmarkEnd w:id="529"/>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r>
        <w:rPr>
          <w:rFonts w:hint="eastAsia" w:ascii="宋体" w:hAnsi="宋体" w:eastAsia="宋体" w:cs="宋体"/>
          <w:highlight w:val="none"/>
        </w:rPr>
        <w:t>7.3 中标候选人履约能力审查</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中标候选人的经营、财务状况发生较大变化或者存在违法行为，招标人认为可能影响其履约能力的，应当在发出中标通知书前由原评标委员会按照招标文件规定的标准和方法审查确认。</w:t>
      </w:r>
    </w:p>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bookmarkStart w:id="545" w:name="_Toc83301727"/>
      <w:bookmarkStart w:id="546" w:name="_Toc95223375"/>
      <w:bookmarkStart w:id="547" w:name="_Toc60061474"/>
      <w:bookmarkStart w:id="548" w:name="_Toc247085728"/>
      <w:bookmarkStart w:id="549" w:name="_Toc144974538"/>
      <w:bookmarkStart w:id="550" w:name="_Toc179632588"/>
      <w:bookmarkStart w:id="551" w:name="_Toc246996957"/>
      <w:bookmarkStart w:id="552" w:name="_Toc15058893"/>
      <w:bookmarkStart w:id="553" w:name="_Toc324404855"/>
      <w:bookmarkStart w:id="554" w:name="_Toc152045570"/>
      <w:bookmarkStart w:id="555" w:name="_Toc152042346"/>
      <w:bookmarkStart w:id="556" w:name="_Toc35424930"/>
      <w:bookmarkStart w:id="557" w:name="_Toc11010"/>
      <w:bookmarkStart w:id="558" w:name="_Toc78803363"/>
      <w:bookmarkStart w:id="559" w:name="_Toc506107308"/>
      <w:bookmarkStart w:id="560" w:name="_Toc35425096"/>
      <w:bookmarkStart w:id="561" w:name="_Toc296602460"/>
      <w:bookmarkStart w:id="562" w:name="_Toc246996214"/>
      <w:r>
        <w:rPr>
          <w:rFonts w:hint="eastAsia" w:ascii="宋体" w:hAnsi="宋体" w:eastAsia="宋体" w:cs="宋体"/>
          <w:highlight w:val="none"/>
        </w:rPr>
        <w:t>7.</w:t>
      </w:r>
      <w:r>
        <w:rPr>
          <w:rFonts w:hint="eastAsia" w:ascii="宋体" w:hAnsi="宋体" w:eastAsia="宋体" w:cs="宋体"/>
          <w:highlight w:val="none"/>
          <w:lang w:val="en-US" w:eastAsia="zh-CN"/>
        </w:rPr>
        <w:t xml:space="preserve">4 </w:t>
      </w:r>
      <w:r>
        <w:rPr>
          <w:rFonts w:hint="eastAsia" w:ascii="宋体" w:hAnsi="宋体" w:eastAsia="宋体" w:cs="宋体"/>
          <w:highlight w:val="none"/>
        </w:rPr>
        <w:t>定标</w:t>
      </w:r>
      <w:bookmarkEnd w:id="545"/>
      <w:bookmarkEnd w:id="546"/>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按照投标人须知前附表的规定，招标人或招标人授权的评标委员会依法确定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bookmarkStart w:id="563" w:name="_Toc83301728"/>
      <w:bookmarkStart w:id="564" w:name="_Toc95223376"/>
      <w:r>
        <w:rPr>
          <w:rFonts w:hint="eastAsia" w:ascii="宋体" w:hAnsi="宋体" w:eastAsia="宋体" w:cs="宋体"/>
          <w:highlight w:val="none"/>
        </w:rPr>
        <w:t>7.</w:t>
      </w:r>
      <w:r>
        <w:rPr>
          <w:rFonts w:hint="eastAsia" w:ascii="宋体" w:hAnsi="宋体" w:eastAsia="宋体" w:cs="宋体"/>
          <w:highlight w:val="none"/>
          <w:lang w:val="en-US" w:eastAsia="zh-CN"/>
        </w:rPr>
        <w:t>5</w:t>
      </w:r>
      <w:r>
        <w:rPr>
          <w:rFonts w:hint="eastAsia" w:ascii="宋体" w:hAnsi="宋体" w:eastAsia="宋体" w:cs="宋体"/>
          <w:highlight w:val="none"/>
        </w:rPr>
        <w:t xml:space="preserve"> 中标通知</w:t>
      </w:r>
      <w:bookmarkEnd w:id="547"/>
      <w:bookmarkEnd w:id="563"/>
      <w:bookmarkEnd w:id="564"/>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在本招标文件规定的投标有效期内，招标人向中标人发出中标通知书，同时将中标结果通知未中标的投标人。</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bookmarkStart w:id="565" w:name="_Toc95223377"/>
      <w:r>
        <w:rPr>
          <w:rFonts w:hint="eastAsia" w:ascii="宋体" w:hAnsi="宋体" w:eastAsia="宋体" w:cs="宋体"/>
          <w:highlight w:val="none"/>
        </w:rPr>
        <w:t>7.</w:t>
      </w:r>
      <w:r>
        <w:rPr>
          <w:rFonts w:hint="eastAsia" w:ascii="宋体" w:hAnsi="宋体" w:eastAsia="宋体" w:cs="宋体"/>
          <w:highlight w:val="none"/>
          <w:lang w:val="en-US" w:eastAsia="zh-CN"/>
        </w:rPr>
        <w:t xml:space="preserve">6 </w:t>
      </w:r>
      <w:r>
        <w:rPr>
          <w:rFonts w:hint="eastAsia" w:ascii="宋体" w:hAnsi="宋体" w:eastAsia="宋体" w:cs="宋体"/>
          <w:highlight w:val="none"/>
        </w:rPr>
        <w:t>中标结果公示</w:t>
      </w:r>
      <w:bookmarkEnd w:id="565"/>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招标人在确定中标人之日起3日内，按照投标人须知前附表规定的公示媒介和期限依法公示中标结果。</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bookmarkStart w:id="566" w:name="_Toc246996956"/>
      <w:bookmarkStart w:id="567" w:name="_Toc60061476"/>
      <w:bookmarkStart w:id="568" w:name="_Toc246996213"/>
      <w:bookmarkStart w:id="569" w:name="_Toc144974537"/>
      <w:bookmarkStart w:id="570" w:name="_Toc95223378"/>
      <w:bookmarkStart w:id="571" w:name="_Toc152042345"/>
      <w:bookmarkStart w:id="572" w:name="_Toc296602459"/>
      <w:bookmarkStart w:id="573" w:name="_Toc15058892"/>
      <w:bookmarkStart w:id="574" w:name="_Toc152045569"/>
      <w:bookmarkStart w:id="575" w:name="_Toc83301730"/>
      <w:bookmarkStart w:id="576" w:name="_Toc506107307"/>
      <w:bookmarkStart w:id="577" w:name="_Toc247085727"/>
      <w:bookmarkStart w:id="578" w:name="_Toc179632587"/>
      <w:bookmarkStart w:id="579" w:name="_Toc324404854"/>
      <w:r>
        <w:rPr>
          <w:rFonts w:hint="eastAsia" w:ascii="宋体" w:hAnsi="宋体" w:eastAsia="宋体" w:cs="宋体"/>
          <w:highlight w:val="none"/>
        </w:rPr>
        <w:t>7.</w:t>
      </w:r>
      <w:r>
        <w:rPr>
          <w:rFonts w:hint="eastAsia" w:ascii="宋体" w:hAnsi="宋体" w:eastAsia="宋体" w:cs="宋体"/>
          <w:highlight w:val="none"/>
          <w:lang w:val="en-US" w:eastAsia="zh-CN"/>
        </w:rPr>
        <w:t>7</w:t>
      </w:r>
      <w:r>
        <w:rPr>
          <w:rFonts w:hint="eastAsia" w:ascii="宋体" w:hAnsi="宋体" w:eastAsia="宋体" w:cs="宋体"/>
          <w:highlight w:val="none"/>
        </w:rPr>
        <w:t xml:space="preserve"> 履约担保</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7</w:t>
      </w:r>
      <w:r>
        <w:rPr>
          <w:rFonts w:hint="eastAsia" w:ascii="宋体" w:hAnsi="宋体" w:eastAsia="宋体" w:cs="宋体"/>
          <w:szCs w:val="21"/>
          <w:highlight w:val="none"/>
        </w:rPr>
        <w:t>.1在签订合同前，中标人应按投标人须知前附表规定的担保形式和招标文件第</w:t>
      </w:r>
      <w:r>
        <w:rPr>
          <w:rFonts w:hint="eastAsia" w:ascii="宋体" w:hAnsi="宋体" w:eastAsia="宋体" w:cs="宋体"/>
          <w:szCs w:val="21"/>
          <w:highlight w:val="none"/>
          <w:lang w:val="en-US" w:eastAsia="zh-CN"/>
        </w:rPr>
        <w:t>四</w:t>
      </w:r>
      <w:r>
        <w:rPr>
          <w:rFonts w:hint="eastAsia" w:ascii="宋体" w:hAnsi="宋体" w:eastAsia="宋体" w:cs="宋体"/>
          <w:szCs w:val="21"/>
          <w:highlight w:val="none"/>
        </w:rPr>
        <w:t>章“合同条款及格式”规定的或者事先经过招标人书面认可的履约担保格式向招标人提交履约担保。联合体中标的，其履约担保应符合投标人须知前附表规定的金额、担保形式和招标文件第</w:t>
      </w:r>
      <w:r>
        <w:rPr>
          <w:rFonts w:hint="eastAsia" w:ascii="宋体" w:hAnsi="宋体" w:eastAsia="宋体" w:cs="宋体"/>
          <w:szCs w:val="21"/>
          <w:highlight w:val="none"/>
          <w:lang w:val="en-US" w:eastAsia="zh-CN"/>
        </w:rPr>
        <w:t>四</w:t>
      </w:r>
      <w:r>
        <w:rPr>
          <w:rFonts w:hint="eastAsia" w:ascii="宋体" w:hAnsi="宋体" w:eastAsia="宋体" w:cs="宋体"/>
          <w:szCs w:val="21"/>
          <w:highlight w:val="none"/>
        </w:rPr>
        <w:t>章“合同条款及格式”规定的履约担保格式要求。</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7</w:t>
      </w:r>
      <w:r>
        <w:rPr>
          <w:rFonts w:hint="eastAsia" w:ascii="宋体" w:hAnsi="宋体" w:eastAsia="宋体" w:cs="宋体"/>
          <w:szCs w:val="21"/>
          <w:highlight w:val="none"/>
        </w:rPr>
        <w:t>.2 中标人不能按本章第7.</w:t>
      </w:r>
      <w:r>
        <w:rPr>
          <w:rFonts w:hint="eastAsia" w:ascii="宋体" w:hAnsi="宋体" w:cs="宋体"/>
          <w:szCs w:val="21"/>
          <w:highlight w:val="none"/>
          <w:lang w:val="en-US" w:eastAsia="zh-CN"/>
        </w:rPr>
        <w:t>7</w:t>
      </w:r>
      <w:r>
        <w:rPr>
          <w:rFonts w:hint="eastAsia" w:ascii="宋体" w:hAnsi="宋体" w:eastAsia="宋体" w:cs="宋体"/>
          <w:szCs w:val="21"/>
          <w:highlight w:val="none"/>
        </w:rPr>
        <w:t>.1项要求提交履约担保的，视为放弃中标，其投标保证金不予退还，给招标人造成的损失超过投标保证金数额的，中标人还应当对超过部分予以赔偿。</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rPr>
      </w:pPr>
      <w:bookmarkStart w:id="580" w:name="_Toc83301731"/>
      <w:bookmarkStart w:id="581" w:name="_Toc60061477"/>
      <w:bookmarkStart w:id="582" w:name="_Toc95223379"/>
      <w:r>
        <w:rPr>
          <w:rFonts w:hint="eastAsia" w:ascii="宋体" w:hAnsi="宋体" w:eastAsia="宋体" w:cs="宋体"/>
          <w:highlight w:val="none"/>
        </w:rPr>
        <w:t>7.</w:t>
      </w:r>
      <w:r>
        <w:rPr>
          <w:rFonts w:hint="eastAsia" w:ascii="宋体" w:hAnsi="宋体" w:eastAsia="宋体" w:cs="宋体"/>
          <w:highlight w:val="none"/>
          <w:lang w:val="en-US" w:eastAsia="zh-CN"/>
        </w:rPr>
        <w:t>8</w:t>
      </w:r>
      <w:r>
        <w:rPr>
          <w:rFonts w:hint="eastAsia" w:ascii="宋体" w:hAnsi="宋体" w:eastAsia="宋体" w:cs="宋体"/>
          <w:highlight w:val="none"/>
        </w:rPr>
        <w:t xml:space="preserve"> 签订合同</w:t>
      </w:r>
      <w:bookmarkEnd w:id="580"/>
      <w:bookmarkEnd w:id="581"/>
      <w:bookmarkEnd w:id="582"/>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8</w:t>
      </w:r>
      <w:r>
        <w:rPr>
          <w:rFonts w:hint="eastAsia" w:ascii="宋体" w:hAnsi="宋体" w:eastAsia="宋体" w:cs="宋体"/>
          <w:szCs w:val="21"/>
          <w:highlight w:val="none"/>
        </w:rPr>
        <w:t>.1本招标工程合同将授予按本须知第7.</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款规定所确定的中标人。</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8</w:t>
      </w:r>
      <w:r>
        <w:rPr>
          <w:rFonts w:hint="eastAsia" w:ascii="宋体" w:hAnsi="宋体" w:eastAsia="宋体" w:cs="宋体"/>
          <w:szCs w:val="21"/>
          <w:highlight w:val="none"/>
        </w:rPr>
        <w:t>.2招标人和中标人应当自中标通知书发出之日起30天内，根据招标文件和中标人的投标文件订立书面合同。中标人无正当理由拒签合同的，在签订合同时向招标人提出附加条件，或不按照招标文件要求提交履约保证金的，招标人取消其中标资格；给招标人造成的损失的，中标人还应当予以赔偿。</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8</w:t>
      </w:r>
      <w:r>
        <w:rPr>
          <w:rFonts w:hint="eastAsia" w:ascii="宋体" w:hAnsi="宋体" w:eastAsia="宋体" w:cs="宋体"/>
          <w:szCs w:val="21"/>
          <w:highlight w:val="none"/>
        </w:rPr>
        <w:t>.3 发出中标通知书后，招标人无正当理由拒签合同的，招标人向中标人退还投标保证金；给中标人造成损失的，还应当赔偿损失。</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8</w:t>
      </w:r>
      <w:r>
        <w:rPr>
          <w:rFonts w:hint="eastAsia" w:ascii="宋体" w:hAnsi="宋体" w:eastAsia="宋体" w:cs="宋体"/>
          <w:szCs w:val="21"/>
          <w:highlight w:val="none"/>
        </w:rPr>
        <w:t>.4 除法定情形外，建设工程合同履行期间项目经理（建造师）不得更换。项目经理（建造师）确需变更的，应根据招标文件要求，变更后的项目经理（建造师）不低于投标文件中拟派项目经理（建造师）的资格条件。</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8</w:t>
      </w:r>
      <w:r>
        <w:rPr>
          <w:rFonts w:hint="eastAsia" w:ascii="宋体" w:hAnsi="宋体" w:eastAsia="宋体" w:cs="宋体"/>
          <w:szCs w:val="21"/>
          <w:highlight w:val="none"/>
        </w:rPr>
        <w:t>.5 联合体中标的，联合体各方应当共同与招标人签订合同，就中标项目向招标人承担连带责任。</w:t>
      </w:r>
    </w:p>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lang w:val="en-US" w:eastAsia="zh-CN"/>
        </w:rPr>
      </w:pPr>
      <w:bookmarkStart w:id="583" w:name="_Toc26974"/>
      <w:bookmarkStart w:id="584" w:name="_Toc31686"/>
      <w:bookmarkStart w:id="585" w:name="_Toc78803367"/>
      <w:bookmarkStart w:id="586" w:name="_Toc35425097"/>
      <w:bookmarkStart w:id="587" w:name="_Toc25375"/>
      <w:bookmarkStart w:id="588" w:name="_Toc35424931"/>
      <w:bookmarkStart w:id="589" w:name="_Toc324404864"/>
      <w:bookmarkStart w:id="590" w:name="_Toc506107317"/>
      <w:bookmarkStart w:id="591" w:name="_Toc15058902"/>
      <w:bookmarkStart w:id="592" w:name="_Toc35425105"/>
      <w:bookmarkStart w:id="593" w:name="_Toc35424939"/>
      <w:bookmarkStart w:id="594" w:name="_Toc296602475"/>
      <w:r>
        <w:rPr>
          <w:rFonts w:hint="eastAsia" w:ascii="宋体" w:hAnsi="宋体" w:eastAsia="宋体" w:cs="宋体"/>
          <w:highlight w:val="none"/>
          <w:lang w:val="en-US" w:eastAsia="zh-CN"/>
        </w:rPr>
        <w:t>8.开评审异常情况处理</w:t>
      </w:r>
    </w:p>
    <w:p>
      <w:pPr>
        <w:pageBreakBefore w:val="0"/>
        <w:widowControl w:val="0"/>
        <w:kinsoku/>
        <w:wordWrap/>
        <w:overflowPunct/>
        <w:topLinePunct w:val="0"/>
        <w:autoSpaceDE/>
        <w:autoSpaceDN/>
        <w:bidi w:val="0"/>
        <w:spacing w:line="420" w:lineRule="exact"/>
        <w:ind w:firstLine="422" w:firstLineChars="200"/>
        <w:jc w:val="left"/>
        <w:textAlignment w:val="auto"/>
        <w:rPr>
          <w:rFonts w:hint="eastAsia" w:ascii="宋体" w:hAnsi="宋体" w:eastAsia="宋体" w:cs="宋体"/>
          <w:szCs w:val="21"/>
          <w:highlight w:val="green"/>
          <w:lang w:val="en-US" w:eastAsia="zh-CN"/>
        </w:rPr>
      </w:pPr>
      <w:r>
        <w:rPr>
          <w:rFonts w:hint="eastAsia" w:ascii="宋体" w:hAnsi="宋体" w:eastAsia="宋体" w:cs="宋体"/>
          <w:b/>
          <w:bCs/>
          <w:szCs w:val="21"/>
          <w:highlight w:val="none"/>
          <w:lang w:val="en-US" w:eastAsia="zh-CN"/>
        </w:rPr>
        <w:t>8.1若有效投标人不足三家，则采用竞争性谈判方式确定中标候选人，若有效投标人只有一家则项目流标。</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8.2重新招标</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有下列情形之一的，招标人将重新招标：</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(1)经评标委员会评审后否决所有投标的；</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(2)中标候选人均未与招标人签订合同的；</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(3)法律、法规规定的其他情形。</w:t>
      </w:r>
    </w:p>
    <w:p>
      <w:pPr>
        <w:pStyle w:val="6"/>
        <w:pageBreakBefore w:val="0"/>
        <w:widowControl w:val="0"/>
        <w:kinsoku/>
        <w:wordWrap/>
        <w:overflowPunct/>
        <w:topLinePunct w:val="0"/>
        <w:autoSpaceDE/>
        <w:autoSpaceDN/>
        <w:bidi w:val="0"/>
        <w:spacing w:line="420" w:lineRule="exact"/>
        <w:ind w:firstLine="422"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 纪律和监督</w:t>
      </w:r>
      <w:bookmarkEnd w:id="583"/>
      <w:bookmarkEnd w:id="584"/>
      <w:bookmarkEnd w:id="585"/>
      <w:bookmarkEnd w:id="586"/>
      <w:bookmarkEnd w:id="587"/>
      <w:bookmarkEnd w:id="588"/>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595" w:name="_Toc296602462"/>
      <w:bookmarkStart w:id="596" w:name="_Toc152042351"/>
      <w:bookmarkStart w:id="597" w:name="_Toc15607"/>
      <w:bookmarkStart w:id="598" w:name="_Toc179632593"/>
      <w:bookmarkStart w:id="599" w:name="_Toc2855"/>
      <w:bookmarkStart w:id="600" w:name="_Toc324404857"/>
      <w:bookmarkStart w:id="601" w:name="_Toc296590983"/>
      <w:bookmarkStart w:id="602" w:name="_Toc144974543"/>
      <w:bookmarkStart w:id="603" w:name="_Toc35424932"/>
      <w:bookmarkStart w:id="604" w:name="_Toc15058895"/>
      <w:bookmarkStart w:id="605" w:name="_Toc246996962"/>
      <w:bookmarkStart w:id="606" w:name="_Toc246996219"/>
      <w:bookmarkStart w:id="607" w:name="_Toc152045575"/>
      <w:bookmarkStart w:id="608" w:name="_Toc35425098"/>
      <w:bookmarkStart w:id="609" w:name="_Toc247085733"/>
      <w:bookmarkStart w:id="610" w:name="_Toc78803368"/>
      <w:bookmarkStart w:id="611" w:name="_Toc506107310"/>
      <w:r>
        <w:rPr>
          <w:rFonts w:hint="eastAsia" w:ascii="宋体" w:hAnsi="宋体" w:eastAsia="宋体" w:cs="宋体"/>
          <w:highlight w:val="none"/>
        </w:rPr>
        <w:t>9.1 对招标人的纪律要求</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招标人不得泄漏招标投标活动中应当保密的情况和资料，不得与投标人串通损害国家利益、社会公共利益或者他人合法权益。</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612" w:name="_Toc35424933"/>
      <w:bookmarkStart w:id="613" w:name="_Toc19779"/>
      <w:bookmarkStart w:id="614" w:name="_Toc35425099"/>
      <w:bookmarkStart w:id="615" w:name="_Toc296602463"/>
      <w:bookmarkStart w:id="616" w:name="_Toc152045576"/>
      <w:bookmarkStart w:id="617" w:name="_Toc324404858"/>
      <w:bookmarkStart w:id="618" w:name="_Toc144974544"/>
      <w:bookmarkStart w:id="619" w:name="_Toc246996963"/>
      <w:bookmarkStart w:id="620" w:name="_Toc179632594"/>
      <w:bookmarkStart w:id="621" w:name="_Toc247085734"/>
      <w:bookmarkStart w:id="622" w:name="_Toc15058896"/>
      <w:bookmarkStart w:id="623" w:name="_Toc246996220"/>
      <w:bookmarkStart w:id="624" w:name="_Toc506107311"/>
      <w:bookmarkStart w:id="625" w:name="_Toc32177"/>
      <w:bookmarkStart w:id="626" w:name="_Toc152042352"/>
      <w:bookmarkStart w:id="627" w:name="_Toc78803369"/>
      <w:r>
        <w:rPr>
          <w:rFonts w:hint="eastAsia" w:ascii="宋体" w:hAnsi="宋体" w:eastAsia="宋体" w:cs="宋体"/>
          <w:highlight w:val="none"/>
        </w:rPr>
        <w:t>9.2 对投标人的纪律要求</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628" w:name="_Toc296602464"/>
      <w:bookmarkStart w:id="629" w:name="_Toc247085735"/>
      <w:bookmarkStart w:id="630" w:name="_Toc35424934"/>
      <w:bookmarkStart w:id="631" w:name="_Toc78803370"/>
      <w:bookmarkStart w:id="632" w:name="_Toc324404859"/>
      <w:bookmarkStart w:id="633" w:name="_Toc13043"/>
      <w:bookmarkStart w:id="634" w:name="_Toc152042353"/>
      <w:bookmarkStart w:id="635" w:name="_Toc152045577"/>
      <w:bookmarkStart w:id="636" w:name="_Toc144974545"/>
      <w:bookmarkStart w:id="637" w:name="_Toc12564"/>
      <w:bookmarkStart w:id="638" w:name="_Toc506107312"/>
      <w:bookmarkStart w:id="639" w:name="_Toc246996221"/>
      <w:bookmarkStart w:id="640" w:name="_Toc35425100"/>
      <w:bookmarkStart w:id="641" w:name="_Toc179632595"/>
      <w:bookmarkStart w:id="642" w:name="_Toc15058897"/>
      <w:bookmarkStart w:id="643" w:name="_Toc246996964"/>
      <w:r>
        <w:rPr>
          <w:rFonts w:hint="eastAsia" w:ascii="宋体" w:hAnsi="宋体" w:eastAsia="宋体" w:cs="宋体"/>
          <w:highlight w:val="none"/>
        </w:rPr>
        <w:t>9.3 对评标委员会成员的纪律要求</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644" w:name="_Toc35425101"/>
      <w:bookmarkStart w:id="645" w:name="_Toc35424935"/>
      <w:bookmarkStart w:id="646" w:name="_Toc152045578"/>
      <w:bookmarkStart w:id="647" w:name="_Toc247085736"/>
      <w:bookmarkStart w:id="648" w:name="_Toc78803371"/>
      <w:bookmarkStart w:id="649" w:name="_Toc179632596"/>
      <w:bookmarkStart w:id="650" w:name="_Toc246996965"/>
      <w:bookmarkStart w:id="651" w:name="_Toc18329"/>
      <w:bookmarkStart w:id="652" w:name="_Toc152042354"/>
      <w:bookmarkStart w:id="653" w:name="_Toc246996222"/>
      <w:bookmarkStart w:id="654" w:name="_Toc506107313"/>
      <w:bookmarkStart w:id="655" w:name="_Toc15058898"/>
      <w:bookmarkStart w:id="656" w:name="_Toc324404860"/>
      <w:bookmarkStart w:id="657" w:name="_Toc32214"/>
      <w:bookmarkStart w:id="658" w:name="_Toc296602465"/>
      <w:bookmarkStart w:id="659" w:name="_Toc144974546"/>
      <w:r>
        <w:rPr>
          <w:rFonts w:hint="eastAsia" w:ascii="宋体" w:hAnsi="宋体" w:eastAsia="宋体" w:cs="宋体"/>
          <w:highlight w:val="none"/>
        </w:rPr>
        <w:t>9.4 对与评标活动有关的工作人员的纪律要求</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bookmarkStart w:id="660" w:name="_Toc152042355"/>
      <w:r>
        <w:rPr>
          <w:rFonts w:hint="eastAsia" w:ascii="宋体" w:hAnsi="宋体" w:cs="宋体"/>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660"/>
    </w:p>
    <w:p>
      <w:pPr>
        <w:pStyle w:val="6"/>
        <w:pageBreakBefore w:val="0"/>
        <w:widowControl w:val="0"/>
        <w:kinsoku/>
        <w:wordWrap/>
        <w:overflowPunct/>
        <w:topLinePunct w:val="0"/>
        <w:autoSpaceDE/>
        <w:autoSpaceDN/>
        <w:bidi w:val="0"/>
        <w:spacing w:line="420" w:lineRule="exact"/>
        <w:ind w:firstLine="422" w:firstLineChars="200"/>
        <w:textAlignment w:val="auto"/>
        <w:rPr>
          <w:rFonts w:ascii="宋体" w:hAnsi="宋体" w:eastAsia="宋体" w:cs="宋体"/>
          <w:highlight w:val="none"/>
        </w:rPr>
      </w:pPr>
      <w:bookmarkStart w:id="661" w:name="_Toc2811"/>
      <w:bookmarkStart w:id="662" w:name="_Toc15058899"/>
      <w:bookmarkStart w:id="663" w:name="_Toc179632597"/>
      <w:bookmarkStart w:id="664" w:name="_Toc506107314"/>
      <w:bookmarkStart w:id="665" w:name="_Toc35425102"/>
      <w:bookmarkStart w:id="666" w:name="_Toc246996966"/>
      <w:bookmarkStart w:id="667" w:name="_Toc246996223"/>
      <w:bookmarkStart w:id="668" w:name="_Toc35424936"/>
      <w:bookmarkStart w:id="669" w:name="_Toc324404861"/>
      <w:bookmarkStart w:id="670" w:name="_Toc23607"/>
      <w:bookmarkStart w:id="671" w:name="_Toc152042356"/>
      <w:bookmarkStart w:id="672" w:name="_Toc247085737"/>
      <w:bookmarkStart w:id="673" w:name="_Toc296602466"/>
      <w:bookmarkStart w:id="674" w:name="_Toc78803372"/>
      <w:bookmarkStart w:id="675" w:name="_Toc152045579"/>
      <w:r>
        <w:rPr>
          <w:rFonts w:hint="eastAsia" w:ascii="宋体" w:hAnsi="宋体" w:eastAsia="宋体" w:cs="宋体"/>
          <w:highlight w:val="none"/>
        </w:rPr>
        <w:t>9.5 投诉</w:t>
      </w:r>
      <w:bookmarkEnd w:id="659"/>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bookmarkStart w:id="676" w:name="_Toc35425103"/>
      <w:bookmarkStart w:id="677" w:name="_Toc35424937"/>
      <w:bookmarkStart w:id="678" w:name="_Toc144974547"/>
      <w:bookmarkStart w:id="679" w:name="_Toc179632598"/>
      <w:bookmarkStart w:id="680" w:name="_Toc246996224"/>
      <w:bookmarkStart w:id="681" w:name="_Toc324404862"/>
      <w:bookmarkStart w:id="682" w:name="_Toc506107315"/>
      <w:bookmarkStart w:id="683" w:name="_Toc16463"/>
      <w:bookmarkStart w:id="684" w:name="_Toc246996967"/>
      <w:bookmarkStart w:id="685" w:name="_Toc78803373"/>
      <w:bookmarkStart w:id="686" w:name="_Toc152042357"/>
      <w:bookmarkStart w:id="687" w:name="_Toc247085738"/>
      <w:bookmarkStart w:id="688" w:name="_Toc31643"/>
      <w:bookmarkStart w:id="689" w:name="_Toc15058900"/>
      <w:bookmarkStart w:id="690" w:name="_Toc20669"/>
      <w:bookmarkStart w:id="691" w:name="_Toc152045580"/>
      <w:r>
        <w:rPr>
          <w:rFonts w:hint="eastAsia" w:ascii="宋体" w:hAnsi="宋体" w:eastAsia="宋体" w:cs="宋体"/>
          <w:szCs w:val="21"/>
          <w:highlight w:val="none"/>
        </w:rPr>
        <w:t>9.5.1投标人或者其他利害关系人认为招标投标活动违反法律、法规和规章规定的，有权向相关行政监督部门投诉。投诉应当有明确的请求和必要的证明材料。</w:t>
      </w:r>
    </w:p>
    <w:p>
      <w:pPr>
        <w:pageBreakBefore w:val="0"/>
        <w:widowControl w:val="0"/>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9.5.2投标人和其他利害关系人对招标文件、开标和评标结果事项投诉的，应当按照投标人须知的规定先向招标人提出异议。异议答复期间不计算在第9.5.1项规定的期限内。</w:t>
      </w:r>
    </w:p>
    <w:p>
      <w:pPr>
        <w:pStyle w:val="6"/>
        <w:pageBreakBefore w:val="0"/>
        <w:widowControl w:val="0"/>
        <w:kinsoku/>
        <w:wordWrap/>
        <w:overflowPunct/>
        <w:topLinePunct w:val="0"/>
        <w:autoSpaceDE/>
        <w:autoSpaceDN/>
        <w:bidi w:val="0"/>
        <w:spacing w:beforeLines="50" w:afterLines="50" w:line="420" w:lineRule="exact"/>
        <w:ind w:firstLine="422" w:firstLineChars="200"/>
        <w:textAlignment w:val="auto"/>
        <w:rPr>
          <w:rFonts w:ascii="宋体" w:hAnsi="宋体" w:eastAsia="宋体" w:cs="宋体"/>
          <w:highlight w:val="none"/>
        </w:rPr>
      </w:pPr>
      <w:r>
        <w:rPr>
          <w:rFonts w:hint="eastAsia" w:ascii="宋体" w:hAnsi="宋体" w:eastAsia="宋体" w:cs="宋体"/>
          <w:highlight w:val="none"/>
        </w:rPr>
        <w:t>10.需要补充的其他内容</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pPr>
        <w:pageBreakBefore w:val="0"/>
        <w:widowControl w:val="0"/>
        <w:kinsoku/>
        <w:wordWrap/>
        <w:overflowPunct/>
        <w:topLinePunct w:val="0"/>
        <w:autoSpaceDE/>
        <w:autoSpaceDN/>
        <w:bidi w:val="0"/>
        <w:spacing w:line="420" w:lineRule="exact"/>
        <w:ind w:firstLine="420" w:firstLineChars="200"/>
        <w:jc w:val="left"/>
        <w:textAlignment w:val="auto"/>
        <w:rPr>
          <w:rFonts w:ascii="宋体" w:hAnsi="宋体" w:cs="宋体"/>
          <w:szCs w:val="21"/>
          <w:highlight w:val="none"/>
        </w:rPr>
      </w:pPr>
      <w:bookmarkStart w:id="692" w:name="_Toc15058901"/>
      <w:r>
        <w:rPr>
          <w:rFonts w:hint="eastAsia" w:ascii="宋体" w:hAnsi="宋体" w:cs="宋体"/>
          <w:szCs w:val="21"/>
          <w:highlight w:val="none"/>
        </w:rPr>
        <w:t>需要补充的其他内容：见投标人须知前附表。</w:t>
      </w:r>
      <w:bookmarkEnd w:id="692"/>
    </w:p>
    <w:p>
      <w:pPr>
        <w:spacing w:line="440" w:lineRule="exact"/>
        <w:jc w:val="left"/>
        <w:rPr>
          <w:rFonts w:ascii="宋体" w:hAnsi="宋体" w:cs="宋体"/>
          <w:szCs w:val="21"/>
          <w:highlight w:val="none"/>
        </w:rPr>
      </w:pPr>
    </w:p>
    <w:p>
      <w:pPr>
        <w:pageBreakBefore/>
        <w:spacing w:beforeLines="80" w:afterLines="80" w:line="440" w:lineRule="exact"/>
        <w:jc w:val="center"/>
        <w:outlineLvl w:val="1"/>
        <w:rPr>
          <w:rFonts w:ascii="宋体"/>
          <w:b/>
          <w:sz w:val="32"/>
          <w:szCs w:val="32"/>
          <w:highlight w:val="none"/>
        </w:rPr>
      </w:pPr>
      <w:bookmarkStart w:id="693" w:name="_Toc78803375"/>
      <w:r>
        <w:rPr>
          <w:rFonts w:hint="eastAsia" w:ascii="宋体"/>
          <w:b/>
          <w:sz w:val="32"/>
          <w:szCs w:val="32"/>
          <w:highlight w:val="none"/>
        </w:rPr>
        <w:t>第二章  资格审查</w:t>
      </w:r>
      <w:bookmarkEnd w:id="589"/>
      <w:r>
        <w:rPr>
          <w:rFonts w:hint="eastAsia" w:ascii="宋体"/>
          <w:b/>
          <w:sz w:val="32"/>
          <w:szCs w:val="32"/>
          <w:highlight w:val="none"/>
        </w:rPr>
        <w:t>办法</w:t>
      </w:r>
      <w:bookmarkEnd w:id="590"/>
      <w:bookmarkEnd w:id="591"/>
      <w:bookmarkEnd w:id="592"/>
      <w:bookmarkEnd w:id="593"/>
      <w:bookmarkEnd w:id="693"/>
    </w:p>
    <w:p>
      <w:pPr>
        <w:spacing w:beforeLines="50" w:afterLines="50" w:line="440" w:lineRule="exact"/>
        <w:jc w:val="center"/>
        <w:rPr>
          <w:rFonts w:ascii="宋体" w:hAnsi="宋体" w:cs="宋体"/>
          <w:b/>
          <w:bCs/>
          <w:sz w:val="28"/>
          <w:szCs w:val="22"/>
          <w:highlight w:val="none"/>
        </w:rPr>
      </w:pPr>
      <w:bookmarkStart w:id="694" w:name="_Toc35424940"/>
      <w:bookmarkStart w:id="695" w:name="_Toc506107318"/>
      <w:bookmarkStart w:id="696" w:name="_Toc15058903"/>
      <w:bookmarkStart w:id="697" w:name="_Toc35425106"/>
      <w:bookmarkStart w:id="698" w:name="_Toc324404865"/>
      <w:r>
        <w:rPr>
          <w:rFonts w:hint="eastAsia" w:ascii="宋体" w:hAnsi="宋体" w:cs="宋体"/>
          <w:b/>
          <w:bCs/>
          <w:sz w:val="28"/>
          <w:szCs w:val="22"/>
          <w:highlight w:val="none"/>
        </w:rPr>
        <w:t>资格审查办法前附表</w:t>
      </w:r>
      <w:bookmarkEnd w:id="694"/>
      <w:bookmarkEnd w:id="695"/>
      <w:bookmarkEnd w:id="696"/>
      <w:bookmarkEnd w:id="697"/>
      <w:bookmarkEnd w:id="698"/>
    </w:p>
    <w:p>
      <w:pPr>
        <w:spacing w:beforeLines="50" w:afterLines="50" w:line="440" w:lineRule="exact"/>
        <w:jc w:val="center"/>
        <w:rPr>
          <w:b/>
          <w:bCs/>
          <w:sz w:val="24"/>
          <w:highlight w:val="none"/>
        </w:rPr>
      </w:pPr>
      <w:r>
        <w:rPr>
          <w:rFonts w:hint="eastAsia"/>
          <w:b/>
          <w:bCs/>
          <w:sz w:val="24"/>
          <w:highlight w:val="none"/>
        </w:rPr>
        <w:t>资信证明文件评审</w:t>
      </w:r>
    </w:p>
    <w:tbl>
      <w:tblPr>
        <w:tblStyle w:val="46"/>
        <w:tblW w:w="10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258"/>
        <w:gridCol w:w="6183"/>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3" w:type="dxa"/>
            <w:gridSpan w:val="2"/>
            <w:noWrap/>
            <w:vAlign w:val="center"/>
          </w:tcPr>
          <w:p>
            <w:pPr>
              <w:spacing w:line="440" w:lineRule="exact"/>
              <w:jc w:val="center"/>
              <w:rPr>
                <w:rFonts w:ascii="宋体" w:hAnsi="宋体" w:cs="宋体"/>
                <w:b/>
                <w:bCs/>
                <w:szCs w:val="21"/>
                <w:highlight w:val="none"/>
              </w:rPr>
            </w:pPr>
            <w:r>
              <w:rPr>
                <w:rFonts w:hint="eastAsia" w:ascii="宋体" w:hAnsi="宋体" w:cs="宋体"/>
                <w:b/>
                <w:bCs/>
                <w:szCs w:val="21"/>
                <w:highlight w:val="none"/>
              </w:rPr>
              <w:t>序号</w:t>
            </w:r>
          </w:p>
        </w:tc>
        <w:tc>
          <w:tcPr>
            <w:tcW w:w="6183" w:type="dxa"/>
            <w:noWrap/>
            <w:vAlign w:val="center"/>
          </w:tcPr>
          <w:p>
            <w:pPr>
              <w:spacing w:line="440" w:lineRule="exact"/>
              <w:jc w:val="center"/>
              <w:rPr>
                <w:rFonts w:ascii="宋体" w:hAnsi="宋体" w:cs="宋体"/>
                <w:b/>
                <w:bCs/>
                <w:szCs w:val="21"/>
                <w:highlight w:val="none"/>
              </w:rPr>
            </w:pPr>
            <w:r>
              <w:rPr>
                <w:rFonts w:hint="eastAsia" w:ascii="宋体" w:hAnsi="宋体" w:cs="宋体"/>
                <w:b/>
                <w:bCs/>
                <w:szCs w:val="21"/>
                <w:highlight w:val="none"/>
              </w:rPr>
              <w:t>审查内容</w:t>
            </w:r>
          </w:p>
        </w:tc>
        <w:tc>
          <w:tcPr>
            <w:tcW w:w="1860" w:type="dxa"/>
            <w:noWrap/>
            <w:vAlign w:val="center"/>
          </w:tcPr>
          <w:p>
            <w:pPr>
              <w:spacing w:line="440" w:lineRule="exact"/>
              <w:jc w:val="center"/>
              <w:rPr>
                <w:rFonts w:ascii="宋体" w:hAnsi="宋体" w:cs="宋体"/>
                <w:b/>
                <w:bCs/>
                <w:szCs w:val="21"/>
                <w:highlight w:val="none"/>
              </w:rPr>
            </w:pPr>
            <w:r>
              <w:rPr>
                <w:rFonts w:hint="eastAsia" w:ascii="宋体" w:hAnsi="宋体" w:cs="宋体"/>
                <w:b/>
                <w:bCs/>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65" w:type="dxa"/>
            <w:vMerge w:val="restart"/>
            <w:noWrap/>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w:t>
            </w:r>
          </w:p>
        </w:tc>
        <w:tc>
          <w:tcPr>
            <w:tcW w:w="1258" w:type="dxa"/>
            <w:vMerge w:val="restart"/>
            <w:noWrap/>
            <w:vAlign w:val="center"/>
          </w:tcPr>
          <w:p>
            <w:pPr>
              <w:spacing w:line="440" w:lineRule="exact"/>
              <w:jc w:val="center"/>
              <w:rPr>
                <w:rFonts w:ascii="宋体" w:hAnsi="宋体" w:cs="宋体"/>
                <w:b/>
                <w:bCs/>
                <w:szCs w:val="21"/>
                <w:highlight w:val="none"/>
              </w:rPr>
            </w:pPr>
            <w:r>
              <w:rPr>
                <w:rFonts w:hint="eastAsia" w:ascii="宋体" w:hAnsi="宋体" w:cs="宋体"/>
                <w:b/>
                <w:bCs/>
                <w:szCs w:val="21"/>
                <w:highlight w:val="none"/>
              </w:rPr>
              <w:t>审查资料</w:t>
            </w:r>
          </w:p>
        </w:tc>
        <w:tc>
          <w:tcPr>
            <w:tcW w:w="6183" w:type="dxa"/>
            <w:noWrap/>
            <w:vAlign w:val="center"/>
          </w:tcPr>
          <w:p>
            <w:pPr>
              <w:spacing w:line="440" w:lineRule="exact"/>
              <w:rPr>
                <w:rFonts w:ascii="宋体" w:hAnsi="宋体" w:cs="宋体"/>
                <w:szCs w:val="21"/>
                <w:highlight w:val="none"/>
              </w:rPr>
            </w:pPr>
            <w:r>
              <w:rPr>
                <w:rFonts w:hint="eastAsia" w:ascii="宋体" w:hAnsi="宋体" w:cs="宋体"/>
                <w:szCs w:val="21"/>
                <w:highlight w:val="none"/>
              </w:rPr>
              <w:t>法定代表人身份证明文件和本人有效身份证(或法定代表人授权委托书和委托代理人有效身份证)</w:t>
            </w:r>
          </w:p>
        </w:tc>
        <w:tc>
          <w:tcPr>
            <w:tcW w:w="1860" w:type="dxa"/>
            <w:noWrap/>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检验电子标书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65" w:type="dxa"/>
            <w:vMerge w:val="continue"/>
            <w:noWrap/>
            <w:vAlign w:val="center"/>
          </w:tcPr>
          <w:p>
            <w:pPr>
              <w:spacing w:line="440" w:lineRule="exact"/>
              <w:jc w:val="center"/>
              <w:rPr>
                <w:rFonts w:ascii="宋体" w:hAnsi="宋体" w:cs="宋体"/>
                <w:szCs w:val="21"/>
                <w:highlight w:val="none"/>
              </w:rPr>
            </w:pPr>
          </w:p>
        </w:tc>
        <w:tc>
          <w:tcPr>
            <w:tcW w:w="1258" w:type="dxa"/>
            <w:vMerge w:val="continue"/>
            <w:noWrap/>
            <w:vAlign w:val="center"/>
          </w:tcPr>
          <w:p>
            <w:pPr>
              <w:spacing w:line="440" w:lineRule="exact"/>
              <w:jc w:val="center"/>
              <w:rPr>
                <w:rFonts w:ascii="宋体" w:hAnsi="宋体" w:cs="宋体"/>
                <w:b/>
                <w:bCs/>
                <w:szCs w:val="21"/>
                <w:highlight w:val="none"/>
              </w:rPr>
            </w:pPr>
          </w:p>
        </w:tc>
        <w:tc>
          <w:tcPr>
            <w:tcW w:w="6183" w:type="dxa"/>
            <w:noWrap/>
            <w:vAlign w:val="center"/>
          </w:tcPr>
          <w:p>
            <w:pPr>
              <w:spacing w:line="440" w:lineRule="exact"/>
              <w:rPr>
                <w:rFonts w:ascii="宋体" w:hAnsi="宋体" w:cs="宋体"/>
                <w:szCs w:val="21"/>
                <w:highlight w:val="none"/>
              </w:rPr>
            </w:pPr>
            <w:r>
              <w:rPr>
                <w:rFonts w:hint="eastAsia" w:ascii="宋体" w:hAnsi="宋体" w:cs="宋体"/>
                <w:szCs w:val="21"/>
                <w:highlight w:val="none"/>
              </w:rPr>
              <w:t>诚信投标承诺书</w:t>
            </w:r>
          </w:p>
        </w:tc>
        <w:tc>
          <w:tcPr>
            <w:tcW w:w="1860" w:type="dxa"/>
            <w:vMerge w:val="restart"/>
            <w:noWrap/>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检验电子标书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65" w:type="dxa"/>
            <w:vMerge w:val="continue"/>
            <w:noWrap/>
            <w:vAlign w:val="center"/>
          </w:tcPr>
          <w:p>
            <w:pPr>
              <w:spacing w:line="440" w:lineRule="exact"/>
              <w:jc w:val="center"/>
              <w:rPr>
                <w:rFonts w:ascii="宋体" w:hAnsi="宋体" w:cs="宋体"/>
                <w:szCs w:val="21"/>
                <w:highlight w:val="none"/>
              </w:rPr>
            </w:pPr>
          </w:p>
        </w:tc>
        <w:tc>
          <w:tcPr>
            <w:tcW w:w="1258" w:type="dxa"/>
            <w:vMerge w:val="continue"/>
            <w:noWrap/>
            <w:vAlign w:val="center"/>
          </w:tcPr>
          <w:p>
            <w:pPr>
              <w:spacing w:line="440" w:lineRule="exact"/>
              <w:jc w:val="center"/>
              <w:rPr>
                <w:rFonts w:ascii="宋体" w:hAnsi="宋体" w:cs="宋体"/>
                <w:b/>
                <w:bCs/>
                <w:szCs w:val="21"/>
                <w:highlight w:val="none"/>
              </w:rPr>
            </w:pPr>
          </w:p>
        </w:tc>
        <w:tc>
          <w:tcPr>
            <w:tcW w:w="6183" w:type="dxa"/>
            <w:noWrap/>
            <w:vAlign w:val="center"/>
          </w:tcPr>
          <w:p>
            <w:pPr>
              <w:spacing w:line="440" w:lineRule="exact"/>
              <w:rPr>
                <w:rFonts w:ascii="宋体" w:hAnsi="宋体" w:cs="宋体"/>
                <w:szCs w:val="21"/>
                <w:highlight w:val="none"/>
              </w:rPr>
            </w:pPr>
            <w:r>
              <w:rPr>
                <w:rFonts w:hint="eastAsia" w:ascii="宋体" w:hAnsi="宋体" w:cs="宋体"/>
                <w:szCs w:val="21"/>
                <w:highlight w:val="none"/>
              </w:rPr>
              <w:t>企业法人营业执照</w:t>
            </w:r>
          </w:p>
        </w:tc>
        <w:tc>
          <w:tcPr>
            <w:tcW w:w="1860" w:type="dxa"/>
            <w:vMerge w:val="continue"/>
            <w:noWrap/>
            <w:vAlign w:val="center"/>
          </w:tcPr>
          <w:p>
            <w:pPr>
              <w:spacing w:line="440" w:lineRule="exact"/>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65" w:type="dxa"/>
            <w:vMerge w:val="continue"/>
            <w:noWrap/>
            <w:vAlign w:val="center"/>
          </w:tcPr>
          <w:p>
            <w:pPr>
              <w:spacing w:line="440" w:lineRule="exact"/>
              <w:jc w:val="center"/>
              <w:rPr>
                <w:rFonts w:ascii="宋体" w:hAnsi="宋体" w:cs="宋体"/>
                <w:szCs w:val="21"/>
                <w:highlight w:val="none"/>
              </w:rPr>
            </w:pPr>
          </w:p>
        </w:tc>
        <w:tc>
          <w:tcPr>
            <w:tcW w:w="1258" w:type="dxa"/>
            <w:vMerge w:val="continue"/>
            <w:noWrap/>
            <w:vAlign w:val="center"/>
          </w:tcPr>
          <w:p>
            <w:pPr>
              <w:spacing w:line="440" w:lineRule="exact"/>
              <w:jc w:val="center"/>
              <w:rPr>
                <w:rFonts w:ascii="宋体" w:hAnsi="宋体" w:cs="宋体"/>
                <w:b/>
                <w:bCs/>
                <w:szCs w:val="21"/>
                <w:highlight w:val="none"/>
              </w:rPr>
            </w:pPr>
          </w:p>
        </w:tc>
        <w:tc>
          <w:tcPr>
            <w:tcW w:w="6183" w:type="dxa"/>
            <w:noWrap/>
            <w:vAlign w:val="top"/>
          </w:tcPr>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宋体" w:hAnsi="宋体" w:cs="宋体"/>
                <w:szCs w:val="21"/>
                <w:highlight w:val="none"/>
              </w:rPr>
            </w:pPr>
            <w:r>
              <w:rPr>
                <w:rFonts w:hint="eastAsia" w:ascii="宋体" w:hAnsi="宋体" w:cs="宋体"/>
                <w:color w:val="auto"/>
                <w:szCs w:val="21"/>
                <w:highlight w:val="none"/>
                <w:lang w:val="en-US" w:eastAsia="zh-CN"/>
              </w:rPr>
              <w:t>项目经理</w:t>
            </w:r>
            <w:r>
              <w:rPr>
                <w:rFonts w:hint="eastAsia" w:ascii="宋体" w:hAnsi="宋体" w:cs="宋体"/>
                <w:color w:val="auto"/>
                <w:szCs w:val="21"/>
                <w:highlight w:val="none"/>
              </w:rPr>
              <w:t>有效身份证</w:t>
            </w:r>
            <w:r>
              <w:rPr>
                <w:rFonts w:hint="eastAsia" w:ascii="宋体" w:hAnsi="宋体" w:cs="宋体"/>
                <w:color w:val="auto"/>
                <w:szCs w:val="21"/>
                <w:highlight w:val="none"/>
                <w:lang w:val="en-US" w:eastAsia="zh-CN"/>
              </w:rPr>
              <w:t>和职称证书【或</w:t>
            </w:r>
            <w:r>
              <w:rPr>
                <w:rFonts w:hint="eastAsia" w:ascii="宋体" w:hAnsi="宋体" w:cs="宋体"/>
                <w:color w:val="auto"/>
                <w:szCs w:val="21"/>
                <w:highlight w:val="none"/>
              </w:rPr>
              <w:t>注册证书以及安全生产考核合格证书（B证）</w:t>
            </w:r>
            <w:r>
              <w:rPr>
                <w:rFonts w:hint="eastAsia" w:ascii="宋体" w:hAnsi="宋体" w:cs="宋体"/>
                <w:color w:val="auto"/>
                <w:szCs w:val="21"/>
                <w:highlight w:val="none"/>
                <w:lang w:val="en-US" w:eastAsia="zh-CN"/>
              </w:rPr>
              <w:t>】</w:t>
            </w:r>
          </w:p>
        </w:tc>
        <w:tc>
          <w:tcPr>
            <w:tcW w:w="1860" w:type="dxa"/>
            <w:vMerge w:val="continue"/>
            <w:noWrap/>
            <w:vAlign w:val="center"/>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765" w:type="dxa"/>
            <w:vMerge w:val="continue"/>
            <w:noWrap/>
            <w:vAlign w:val="center"/>
          </w:tcPr>
          <w:p>
            <w:pPr>
              <w:spacing w:line="440" w:lineRule="exact"/>
              <w:jc w:val="center"/>
              <w:rPr>
                <w:rFonts w:ascii="宋体" w:hAnsi="宋体" w:cs="宋体"/>
                <w:szCs w:val="21"/>
                <w:highlight w:val="none"/>
              </w:rPr>
            </w:pPr>
          </w:p>
        </w:tc>
        <w:tc>
          <w:tcPr>
            <w:tcW w:w="1258" w:type="dxa"/>
            <w:vMerge w:val="continue"/>
            <w:noWrap/>
            <w:vAlign w:val="center"/>
          </w:tcPr>
          <w:p>
            <w:pPr>
              <w:spacing w:line="440" w:lineRule="exact"/>
              <w:jc w:val="center"/>
              <w:rPr>
                <w:rFonts w:ascii="宋体" w:hAnsi="宋体" w:cs="宋体"/>
                <w:b/>
                <w:bCs/>
                <w:szCs w:val="21"/>
                <w:highlight w:val="none"/>
              </w:rPr>
            </w:pPr>
          </w:p>
        </w:tc>
        <w:tc>
          <w:tcPr>
            <w:tcW w:w="6183" w:type="dxa"/>
            <w:noWrap/>
            <w:vAlign w:val="top"/>
          </w:tcPr>
          <w:p>
            <w:pPr>
              <w:spacing w:line="440" w:lineRule="exact"/>
              <w:rPr>
                <w:rFonts w:ascii="宋体" w:hAnsi="宋体" w:cs="宋体"/>
                <w:highlight w:val="none"/>
              </w:rPr>
            </w:pPr>
            <w:r>
              <w:rPr>
                <w:rFonts w:hint="eastAsia" w:ascii="宋体" w:hAnsi="宋体" w:cs="宋体"/>
                <w:szCs w:val="21"/>
                <w:highlight w:val="none"/>
              </w:rPr>
              <w:t>投标人的法定代表人(或委托代理人)和</w:t>
            </w:r>
            <w:r>
              <w:rPr>
                <w:rFonts w:hint="eastAsia" w:ascii="宋体" w:hAnsi="宋体" w:cs="宋体"/>
                <w:color w:val="auto"/>
                <w:szCs w:val="21"/>
                <w:highlight w:val="none"/>
              </w:rPr>
              <w:t>拟任项目经理（建造师）</w:t>
            </w:r>
            <w:r>
              <w:rPr>
                <w:rFonts w:hint="eastAsia" w:ascii="宋体" w:hAnsi="宋体" w:cs="宋体"/>
                <w:szCs w:val="21"/>
                <w:highlight w:val="none"/>
              </w:rPr>
              <w:t>须持有社保部门出具的本单位为其缴纳的投标前近三个月连续的养老保险证明（含官网在线打印件，证明文件两个月内有效）（同一人担任不同公司法定代表人的，该法定代表人参加本项目投标时须提供本人在其他公司任法定代表人的营业执照及为其缴纳养老保险证明材料），投标人是事业单位的，暂未缴纳养老保险的，须由其主管部门出具证明</w:t>
            </w:r>
          </w:p>
        </w:tc>
        <w:tc>
          <w:tcPr>
            <w:tcW w:w="1860" w:type="dxa"/>
            <w:vMerge w:val="continue"/>
            <w:noWrap/>
            <w:vAlign w:val="center"/>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765" w:type="dxa"/>
            <w:vMerge w:val="continue"/>
            <w:noWrap/>
            <w:vAlign w:val="center"/>
          </w:tcPr>
          <w:p>
            <w:pPr>
              <w:spacing w:line="440" w:lineRule="exact"/>
              <w:jc w:val="center"/>
              <w:rPr>
                <w:rFonts w:ascii="宋体" w:hAnsi="宋体" w:cs="宋体"/>
                <w:szCs w:val="21"/>
                <w:highlight w:val="none"/>
              </w:rPr>
            </w:pPr>
          </w:p>
        </w:tc>
        <w:tc>
          <w:tcPr>
            <w:tcW w:w="1258" w:type="dxa"/>
            <w:vMerge w:val="continue"/>
            <w:noWrap/>
            <w:vAlign w:val="center"/>
          </w:tcPr>
          <w:p>
            <w:pPr>
              <w:spacing w:line="440" w:lineRule="exact"/>
              <w:jc w:val="center"/>
              <w:rPr>
                <w:rFonts w:ascii="宋体" w:hAnsi="宋体" w:cs="宋体"/>
                <w:b/>
                <w:bCs/>
                <w:szCs w:val="21"/>
                <w:highlight w:val="none"/>
              </w:rPr>
            </w:pPr>
          </w:p>
        </w:tc>
        <w:tc>
          <w:tcPr>
            <w:tcW w:w="6183" w:type="dxa"/>
            <w:noWrap/>
            <w:vAlign w:val="top"/>
          </w:tcPr>
          <w:p>
            <w:pPr>
              <w:spacing w:line="440" w:lineRule="exact"/>
              <w:rPr>
                <w:rFonts w:hint="eastAsia" w:ascii="宋体" w:hAnsi="宋体" w:cs="宋体"/>
                <w:szCs w:val="21"/>
                <w:highlight w:val="none"/>
              </w:rPr>
            </w:pPr>
            <w:r>
              <w:rPr>
                <w:rFonts w:hint="eastAsia" w:ascii="宋体" w:hAnsi="宋体" w:cs="宋体"/>
                <w:color w:val="auto"/>
                <w:sz w:val="21"/>
                <w:szCs w:val="21"/>
                <w:highlight w:val="none"/>
                <w:lang w:val="en-US" w:eastAsia="zh-CN"/>
              </w:rPr>
              <w:t>投标人</w:t>
            </w:r>
            <w:r>
              <w:rPr>
                <w:rFonts w:hint="eastAsia" w:ascii="宋体" w:hAnsi="宋体" w:eastAsia="宋体" w:cs="宋体"/>
                <w:color w:val="auto"/>
                <w:sz w:val="21"/>
                <w:szCs w:val="21"/>
                <w:highlight w:val="none"/>
                <w:lang w:val="en-US" w:eastAsia="zh-CN"/>
              </w:rPr>
              <w:t>自2019年1月1日以来（以竣工验收时间为准），具备绿化（或园林或景观）工程施工业绩。</w:t>
            </w:r>
            <w:r>
              <w:rPr>
                <w:rFonts w:hint="eastAsia" w:ascii="宋体" w:hAnsi="宋体" w:cs="宋体"/>
                <w:color w:val="auto"/>
                <w:sz w:val="21"/>
                <w:szCs w:val="21"/>
                <w:highlight w:val="none"/>
                <w:lang w:val="en-US" w:eastAsia="zh-CN"/>
              </w:rPr>
              <w:t>【投标</w:t>
            </w:r>
            <w:r>
              <w:rPr>
                <w:rFonts w:hint="eastAsia" w:ascii="宋体" w:hAnsi="宋体" w:eastAsia="宋体" w:cs="宋体"/>
                <w:color w:val="auto"/>
                <w:sz w:val="21"/>
                <w:szCs w:val="21"/>
                <w:highlight w:val="none"/>
                <w:lang w:val="en-US" w:eastAsia="zh-CN"/>
              </w:rPr>
              <w:t>文件中</w:t>
            </w:r>
            <w:r>
              <w:rPr>
                <w:rFonts w:hint="eastAsia" w:ascii="宋体" w:hAnsi="宋体" w:cs="宋体"/>
                <w:color w:val="auto"/>
                <w:sz w:val="21"/>
                <w:szCs w:val="21"/>
                <w:highlight w:val="none"/>
                <w:lang w:val="en-US" w:eastAsia="zh-CN"/>
              </w:rPr>
              <w:t>同时</w:t>
            </w:r>
            <w:r>
              <w:rPr>
                <w:rFonts w:hint="eastAsia" w:ascii="宋体" w:hAnsi="宋体" w:eastAsia="宋体" w:cs="宋体"/>
                <w:color w:val="auto"/>
                <w:sz w:val="21"/>
                <w:szCs w:val="21"/>
                <w:highlight w:val="none"/>
                <w:lang w:val="en-US" w:eastAsia="zh-CN"/>
              </w:rPr>
              <w:t>提供以下证明材料：①合同协议书；②竣工验收证明文件（至少有建设单位、监理单位、施工单位三方参与竣工验收并盖单位章），且竣工验收证明文件须注明竣工验收日期。</w:t>
            </w:r>
            <w:r>
              <w:rPr>
                <w:rFonts w:hint="eastAsia" w:ascii="宋体" w:hAnsi="宋体" w:cs="宋体"/>
                <w:color w:val="auto"/>
                <w:sz w:val="21"/>
                <w:szCs w:val="21"/>
                <w:highlight w:val="none"/>
                <w:lang w:val="en-US" w:eastAsia="zh-CN"/>
              </w:rPr>
              <w:t>】</w:t>
            </w:r>
          </w:p>
        </w:tc>
        <w:tc>
          <w:tcPr>
            <w:tcW w:w="1860" w:type="dxa"/>
            <w:vMerge w:val="continue"/>
            <w:noWrap/>
            <w:vAlign w:val="center"/>
          </w:tcPr>
          <w:p>
            <w:pPr>
              <w:spacing w:line="440" w:lineRule="exact"/>
              <w:rPr>
                <w:rFonts w:ascii="宋体" w:hAnsi="宋体" w:cs="宋体"/>
                <w:szCs w:val="21"/>
                <w:highlight w:val="none"/>
              </w:rPr>
            </w:pPr>
          </w:p>
        </w:tc>
      </w:tr>
    </w:tbl>
    <w:p>
      <w:pPr>
        <w:spacing w:line="440" w:lineRule="exact"/>
        <w:ind w:firstLine="422" w:firstLineChars="200"/>
        <w:jc w:val="left"/>
        <w:rPr>
          <w:rFonts w:ascii="宋体" w:hAnsi="宋体" w:cs="宋体"/>
          <w:b/>
          <w:bCs/>
          <w:szCs w:val="21"/>
          <w:highlight w:val="none"/>
        </w:rPr>
      </w:pPr>
      <w:r>
        <w:rPr>
          <w:rFonts w:hint="eastAsia" w:ascii="宋体" w:hAnsi="宋体" w:cs="宋体"/>
          <w:b/>
          <w:bCs/>
          <w:szCs w:val="21"/>
          <w:highlight w:val="none"/>
        </w:rPr>
        <w:t>重要提示：</w:t>
      </w:r>
    </w:p>
    <w:p>
      <w:pPr>
        <w:spacing w:line="440" w:lineRule="exact"/>
        <w:ind w:firstLine="422" w:firstLineChars="200"/>
        <w:jc w:val="left"/>
        <w:rPr>
          <w:rFonts w:ascii="宋体" w:hAnsi="宋体" w:cs="宋体"/>
          <w:b/>
          <w:bCs/>
          <w:szCs w:val="21"/>
          <w:highlight w:val="none"/>
        </w:rPr>
      </w:pPr>
      <w:r>
        <w:rPr>
          <w:rFonts w:hint="eastAsia" w:ascii="宋体" w:hAnsi="宋体" w:cs="宋体"/>
          <w:b/>
          <w:bCs/>
          <w:szCs w:val="21"/>
          <w:highlight w:val="none"/>
        </w:rPr>
        <w:t>（</w:t>
      </w:r>
      <w:r>
        <w:rPr>
          <w:rFonts w:hint="eastAsia" w:ascii="宋体" w:hAnsi="宋体" w:cs="宋体"/>
          <w:b/>
          <w:bCs/>
          <w:szCs w:val="21"/>
          <w:highlight w:val="none"/>
          <w:lang w:val="en-US" w:eastAsia="zh-CN"/>
        </w:rPr>
        <w:t>1</w:t>
      </w:r>
      <w:r>
        <w:rPr>
          <w:rFonts w:hint="eastAsia" w:ascii="宋体" w:hAnsi="宋体" w:cs="宋体"/>
          <w:b/>
          <w:bCs/>
          <w:szCs w:val="21"/>
          <w:highlight w:val="none"/>
        </w:rPr>
        <w:t>）评标专家在检验电子投标文件过程中，如果由于投标人自身原因导致评标专家无法查看并检验电子投标文件中相关资料的，视为无效标处理。即使投标人将原件携带至现场的，同样按无效标处理。</w:t>
      </w:r>
    </w:p>
    <w:p>
      <w:pPr>
        <w:pStyle w:val="6"/>
        <w:spacing w:beforeLines="50" w:afterLines="50"/>
        <w:ind w:firstLine="422" w:firstLineChars="200"/>
        <w:rPr>
          <w:rFonts w:ascii="宋体" w:hAnsi="宋体" w:eastAsia="宋体" w:cs="宋体"/>
          <w:highlight w:val="none"/>
        </w:rPr>
      </w:pPr>
      <w:bookmarkStart w:id="699" w:name="_Toc35425108"/>
      <w:bookmarkStart w:id="700" w:name="_Toc12549"/>
      <w:bookmarkStart w:id="701" w:name="_Toc78803377"/>
      <w:bookmarkStart w:id="702" w:name="_Toc15058909"/>
      <w:bookmarkStart w:id="703" w:name="_Toc324404867"/>
      <w:bookmarkStart w:id="704" w:name="_Toc506107320"/>
      <w:bookmarkStart w:id="705" w:name="_Toc35424942"/>
      <w:r>
        <w:rPr>
          <w:rFonts w:hint="eastAsia" w:ascii="宋体" w:hAnsi="宋体" w:eastAsia="宋体" w:cs="宋体"/>
          <w:highlight w:val="none"/>
        </w:rPr>
        <w:t>2.审查办法</w:t>
      </w:r>
      <w:bookmarkEnd w:id="699"/>
      <w:bookmarkEnd w:id="700"/>
      <w:bookmarkEnd w:id="701"/>
      <w:bookmarkEnd w:id="702"/>
      <w:bookmarkEnd w:id="703"/>
      <w:bookmarkEnd w:id="704"/>
      <w:bookmarkEnd w:id="705"/>
    </w:p>
    <w:p>
      <w:pPr>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由资格审查委员会（评标委员会）按资格审查办法前附表中资格审查必要合格条件评审表要求对投标人审查资料进行核验。</w:t>
      </w:r>
    </w:p>
    <w:p>
      <w:pPr>
        <w:pStyle w:val="6"/>
        <w:spacing w:beforeLines="50" w:afterLines="50"/>
        <w:ind w:firstLine="422" w:firstLineChars="200"/>
        <w:rPr>
          <w:rFonts w:ascii="宋体" w:hAnsi="宋体" w:eastAsia="宋体" w:cs="宋体"/>
          <w:highlight w:val="none"/>
        </w:rPr>
      </w:pPr>
      <w:bookmarkStart w:id="706" w:name="_Toc324404868"/>
      <w:bookmarkStart w:id="707" w:name="_Toc15058910"/>
      <w:bookmarkStart w:id="708" w:name="_Toc35424943"/>
      <w:bookmarkStart w:id="709" w:name="_Toc15626"/>
      <w:bookmarkStart w:id="710" w:name="_Toc78803378"/>
      <w:bookmarkStart w:id="711" w:name="_Toc35425109"/>
      <w:bookmarkStart w:id="712" w:name="_Toc506107321"/>
      <w:r>
        <w:rPr>
          <w:rFonts w:hint="eastAsia" w:ascii="宋体" w:hAnsi="宋体" w:eastAsia="宋体" w:cs="宋体"/>
          <w:highlight w:val="none"/>
        </w:rPr>
        <w:t>3.资格审查委员会和审查标准</w:t>
      </w:r>
      <w:bookmarkEnd w:id="706"/>
      <w:bookmarkEnd w:id="707"/>
      <w:bookmarkEnd w:id="708"/>
      <w:bookmarkEnd w:id="709"/>
      <w:bookmarkEnd w:id="710"/>
      <w:bookmarkEnd w:id="711"/>
      <w:bookmarkEnd w:id="712"/>
    </w:p>
    <w:p>
      <w:pPr>
        <w:spacing w:line="440" w:lineRule="exact"/>
        <w:ind w:firstLine="420" w:firstLineChars="200"/>
        <w:jc w:val="left"/>
        <w:rPr>
          <w:rFonts w:hint="eastAsia" w:ascii="宋体" w:hAnsi="宋体" w:eastAsia="宋体" w:cs="宋体"/>
          <w:szCs w:val="21"/>
          <w:highlight w:val="none"/>
        </w:rPr>
      </w:pPr>
      <w:bookmarkStart w:id="713" w:name="_Toc78803379"/>
      <w:bookmarkStart w:id="714" w:name="_Toc35424944"/>
      <w:bookmarkStart w:id="715" w:name="_Toc10330"/>
      <w:bookmarkStart w:id="716" w:name="_Toc15058911"/>
      <w:bookmarkStart w:id="717" w:name="_Toc324404869"/>
      <w:bookmarkStart w:id="718" w:name="_Toc506107322"/>
      <w:bookmarkStart w:id="719" w:name="_Toc35425110"/>
      <w:r>
        <w:rPr>
          <w:rFonts w:hint="eastAsia" w:ascii="宋体" w:hAnsi="宋体" w:eastAsia="宋体" w:cs="宋体"/>
          <w:szCs w:val="21"/>
          <w:highlight w:val="none"/>
        </w:rPr>
        <w:t>3.1资格审查由招标人依法组建的资格审查委员会（或评标委员会）负责。审查标准见资格审查办法前附表。</w:t>
      </w:r>
    </w:p>
    <w:p>
      <w:pPr>
        <w:spacing w:line="44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 xml:space="preserve">3.2由资格审查委员会（评标委员会）按资格审查办法前附表要求对投标人的审查资料进行核验。投标申请人有下列情形之一的，其资格审查为不合格： </w:t>
      </w:r>
    </w:p>
    <w:p>
      <w:pPr>
        <w:spacing w:line="44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未上传电子标书或电子标书经审查不合格；</w:t>
      </w:r>
    </w:p>
    <w:p>
      <w:pPr>
        <w:spacing w:line="44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eastAsia="宋体" w:cs="宋体"/>
          <w:szCs w:val="21"/>
          <w:highlight w:val="none"/>
          <w:lang w:val="en-US" w:eastAsia="zh-CN"/>
        </w:rPr>
        <w:t>未</w:t>
      </w:r>
      <w:r>
        <w:rPr>
          <w:rFonts w:hint="eastAsia" w:ascii="宋体" w:hAnsi="宋体" w:eastAsia="宋体" w:cs="宋体"/>
          <w:szCs w:val="21"/>
          <w:highlight w:val="none"/>
        </w:rPr>
        <w:t>按</w:t>
      </w:r>
      <w:r>
        <w:rPr>
          <w:rFonts w:hint="eastAsia" w:ascii="宋体" w:hAnsi="宋体" w:eastAsia="宋体" w:cs="宋体"/>
          <w:szCs w:val="21"/>
          <w:highlight w:val="none"/>
          <w:lang w:val="en-US" w:eastAsia="zh-CN"/>
        </w:rPr>
        <w:t>招标公告</w:t>
      </w:r>
      <w:r>
        <w:rPr>
          <w:rFonts w:hint="eastAsia" w:ascii="宋体" w:hAnsi="宋体" w:eastAsia="宋体" w:cs="宋体"/>
          <w:szCs w:val="21"/>
          <w:highlight w:val="none"/>
        </w:rPr>
        <w:t>要求提交投标保证金的；</w:t>
      </w:r>
    </w:p>
    <w:p>
      <w:pPr>
        <w:spacing w:line="44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）法律、法规规定的其他情形。</w:t>
      </w:r>
    </w:p>
    <w:p>
      <w:pPr>
        <w:pStyle w:val="6"/>
        <w:spacing w:beforeLines="50" w:afterLines="50"/>
        <w:ind w:firstLine="422" w:firstLineChars="200"/>
        <w:rPr>
          <w:rFonts w:ascii="宋体" w:hAnsi="宋体" w:eastAsia="宋体" w:cs="宋体"/>
          <w:highlight w:val="none"/>
        </w:rPr>
      </w:pPr>
      <w:r>
        <w:rPr>
          <w:rFonts w:hint="eastAsia" w:ascii="宋体" w:hAnsi="宋体" w:eastAsia="宋体" w:cs="宋体"/>
          <w:highlight w:val="none"/>
        </w:rPr>
        <w:t>4.审查结果</w:t>
      </w:r>
      <w:bookmarkEnd w:id="713"/>
      <w:bookmarkEnd w:id="714"/>
      <w:bookmarkEnd w:id="715"/>
      <w:bookmarkEnd w:id="716"/>
      <w:bookmarkEnd w:id="717"/>
      <w:bookmarkEnd w:id="718"/>
      <w:bookmarkEnd w:id="719"/>
    </w:p>
    <w:p>
      <w:pPr>
        <w:spacing w:line="440" w:lineRule="exact"/>
        <w:ind w:firstLine="420" w:firstLineChars="200"/>
        <w:jc w:val="left"/>
        <w:rPr>
          <w:rFonts w:ascii="宋体" w:hAnsi="宋体" w:cs="宋体"/>
          <w:szCs w:val="21"/>
          <w:highlight w:val="none"/>
        </w:rPr>
      </w:pPr>
      <w:r>
        <w:rPr>
          <w:rFonts w:hint="eastAsia" w:ascii="宋体" w:hAnsi="宋体" w:cs="宋体"/>
          <w:highlight w:val="none"/>
        </w:rPr>
        <w:t>只有通过资格审查的投标人才能进入下一步的评标程序。</w:t>
      </w:r>
      <w:bookmarkStart w:id="720" w:name="_Toc506107323"/>
    </w:p>
    <w:p>
      <w:pPr>
        <w:pStyle w:val="5"/>
        <w:spacing w:beforeLines="50" w:afterLines="50"/>
        <w:rPr>
          <w:highlight w:val="none"/>
        </w:rPr>
      </w:pPr>
      <w:bookmarkStart w:id="721" w:name="_Toc15058912"/>
      <w:bookmarkStart w:id="722" w:name="_Toc35424945"/>
      <w:bookmarkStart w:id="723" w:name="_Toc35425111"/>
      <w:r>
        <w:rPr>
          <w:rFonts w:hint="eastAsia"/>
          <w:highlight w:val="none"/>
        </w:rPr>
        <w:br w:type="page"/>
      </w:r>
      <w:bookmarkStart w:id="724" w:name="_Toc78803380"/>
      <w:r>
        <w:rPr>
          <w:rFonts w:hint="eastAsia" w:ascii="Arial" w:hAnsi="Arial"/>
          <w:kern w:val="0"/>
          <w:sz w:val="32"/>
          <w:szCs w:val="32"/>
          <w:highlight w:val="none"/>
        </w:rPr>
        <w:t>第三章  评标办法</w:t>
      </w:r>
      <w:bookmarkEnd w:id="594"/>
      <w:bookmarkEnd w:id="720"/>
      <w:bookmarkEnd w:id="721"/>
      <w:bookmarkEnd w:id="722"/>
      <w:bookmarkEnd w:id="723"/>
      <w:bookmarkEnd w:id="724"/>
    </w:p>
    <w:p>
      <w:pPr>
        <w:pStyle w:val="2"/>
        <w:adjustRightInd w:val="0"/>
        <w:snapToGrid w:val="0"/>
        <w:spacing w:after="0" w:line="440" w:lineRule="exact"/>
        <w:ind w:left="0" w:leftChars="0" w:firstLine="0" w:firstLineChars="0"/>
        <w:jc w:val="center"/>
        <w:rPr>
          <w:rFonts w:hint="eastAsia"/>
          <w:b/>
          <w:color w:val="auto"/>
          <w:sz w:val="28"/>
          <w:szCs w:val="21"/>
          <w:highlight w:val="none"/>
        </w:rPr>
      </w:pPr>
      <w:r>
        <w:rPr>
          <w:rFonts w:hint="eastAsia"/>
          <w:b/>
          <w:color w:val="auto"/>
          <w:sz w:val="28"/>
          <w:szCs w:val="21"/>
          <w:highlight w:val="none"/>
        </w:rPr>
        <w:t>（</w:t>
      </w:r>
      <w:r>
        <w:rPr>
          <w:rFonts w:hint="eastAsia"/>
          <w:b/>
          <w:color w:val="auto"/>
          <w:sz w:val="28"/>
          <w:szCs w:val="21"/>
          <w:highlight w:val="none"/>
          <w:lang w:val="en-US" w:eastAsia="zh-CN"/>
        </w:rPr>
        <w:t>一</w:t>
      </w:r>
      <w:r>
        <w:rPr>
          <w:rFonts w:hint="eastAsia"/>
          <w:b/>
          <w:color w:val="auto"/>
          <w:sz w:val="28"/>
          <w:szCs w:val="21"/>
          <w:highlight w:val="none"/>
        </w:rPr>
        <w:t>）技术标评审</w:t>
      </w:r>
    </w:p>
    <w:tbl>
      <w:tblPr>
        <w:tblStyle w:val="46"/>
        <w:tblW w:w="9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1276"/>
        <w:gridCol w:w="675"/>
        <w:gridCol w:w="545"/>
        <w:gridCol w:w="2135"/>
        <w:gridCol w:w="4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184" w:type="dxa"/>
            <w:gridSpan w:val="2"/>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条款号</w:t>
            </w:r>
          </w:p>
        </w:tc>
        <w:tc>
          <w:tcPr>
            <w:tcW w:w="3355" w:type="dxa"/>
            <w:gridSpan w:val="3"/>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评</w:t>
            </w:r>
            <w:bookmarkStart w:id="725" w:name="_Toc152045609"/>
            <w:bookmarkStart w:id="726" w:name="_Toc417623601"/>
            <w:bookmarkStart w:id="727" w:name="_Toc152042387"/>
            <w:bookmarkStart w:id="728" w:name="_Toc246996995"/>
            <w:bookmarkStart w:id="729" w:name="_Toc144974577"/>
            <w:bookmarkStart w:id="730" w:name="_Toc324404881"/>
            <w:bookmarkStart w:id="731" w:name="_Toc179632627"/>
            <w:bookmarkStart w:id="732" w:name="_Toc246996252"/>
            <w:bookmarkStart w:id="733" w:name="_Toc247085767"/>
            <w:r>
              <w:rPr>
                <w:rFonts w:hint="eastAsia" w:ascii="宋体" w:hAnsi="宋体" w:cs="宋体"/>
                <w:color w:val="auto"/>
                <w:szCs w:val="21"/>
                <w:highlight w:val="none"/>
              </w:rPr>
              <w:t>审因</w:t>
            </w:r>
            <w:bookmarkEnd w:id="725"/>
            <w:bookmarkEnd w:id="726"/>
            <w:bookmarkEnd w:id="727"/>
            <w:bookmarkEnd w:id="728"/>
            <w:bookmarkEnd w:id="729"/>
            <w:bookmarkEnd w:id="730"/>
            <w:bookmarkEnd w:id="731"/>
            <w:bookmarkEnd w:id="732"/>
            <w:bookmarkEnd w:id="733"/>
            <w:bookmarkStart w:id="734" w:name="_Toc60061510"/>
            <w:r>
              <w:rPr>
                <w:rFonts w:hint="eastAsia" w:ascii="宋体" w:hAnsi="宋体" w:cs="宋体"/>
                <w:color w:val="auto"/>
                <w:szCs w:val="21"/>
                <w:highlight w:val="none"/>
              </w:rPr>
              <w:t>素</w:t>
            </w:r>
          </w:p>
        </w:tc>
        <w:tc>
          <w:tcPr>
            <w:tcW w:w="4452" w:type="dxa"/>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评审标准</w:t>
            </w:r>
          </w:p>
        </w:tc>
      </w:tr>
      <w:bookmarkEnd w:id="7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8"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4.1.1</w:t>
            </w:r>
          </w:p>
        </w:tc>
        <w:tc>
          <w:tcPr>
            <w:tcW w:w="1276" w:type="dxa"/>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形式评审</w:t>
            </w:r>
          </w:p>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标准</w:t>
            </w:r>
          </w:p>
        </w:tc>
        <w:tc>
          <w:tcPr>
            <w:tcW w:w="3355" w:type="dxa"/>
            <w:gridSpan w:val="3"/>
            <w:noWrap w:val="0"/>
            <w:vAlign w:val="center"/>
          </w:tcPr>
          <w:p>
            <w:pPr>
              <w:jc w:val="center"/>
              <w:rPr>
                <w:rFonts w:hint="eastAsia"/>
                <w:color w:val="auto"/>
                <w:highlight w:val="none"/>
              </w:rPr>
            </w:pPr>
            <w:r>
              <w:rPr>
                <w:rFonts w:hint="eastAsia"/>
                <w:color w:val="auto"/>
                <w:highlight w:val="none"/>
              </w:rPr>
              <w:t>投标文件格式</w:t>
            </w:r>
          </w:p>
        </w:tc>
        <w:tc>
          <w:tcPr>
            <w:tcW w:w="4452" w:type="dxa"/>
            <w:noWrap w:val="0"/>
            <w:vAlign w:val="center"/>
          </w:tcPr>
          <w:p>
            <w:pPr>
              <w:rPr>
                <w:rFonts w:hint="eastAsia"/>
                <w:color w:val="auto"/>
                <w:highlight w:val="none"/>
              </w:rPr>
            </w:pPr>
            <w:r>
              <w:rPr>
                <w:rFonts w:hint="eastAsia"/>
                <w:color w:val="auto"/>
                <w:highlight w:val="none"/>
              </w:rPr>
              <w:t>符合第</w:t>
            </w:r>
            <w:r>
              <w:rPr>
                <w:rFonts w:hint="eastAsia"/>
                <w:color w:val="auto"/>
                <w:highlight w:val="none"/>
                <w:lang w:val="en-US" w:eastAsia="zh-CN"/>
              </w:rPr>
              <w:t>六</w:t>
            </w:r>
            <w:r>
              <w:rPr>
                <w:rFonts w:hint="eastAsia"/>
                <w:color w:val="auto"/>
                <w:highlight w:val="none"/>
              </w:rPr>
              <w:t>章“投标文件格式”的要求，否则经评委会一致认定后,按照无效投标处理。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8" w:type="dxa"/>
            <w:vMerge w:val="restart"/>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4.1.2</w:t>
            </w:r>
          </w:p>
        </w:tc>
        <w:tc>
          <w:tcPr>
            <w:tcW w:w="1276" w:type="dxa"/>
            <w:vMerge w:val="restart"/>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响应性评审标准</w:t>
            </w:r>
          </w:p>
        </w:tc>
        <w:tc>
          <w:tcPr>
            <w:tcW w:w="3355" w:type="dxa"/>
            <w:gridSpan w:val="3"/>
            <w:noWrap w:val="0"/>
            <w:vAlign w:val="center"/>
          </w:tcPr>
          <w:p>
            <w:pPr>
              <w:adjustRightInd w:val="0"/>
              <w:snapToGrid w:val="0"/>
              <w:spacing w:line="440" w:lineRule="exact"/>
              <w:jc w:val="center"/>
              <w:textAlignment w:val="baseline"/>
              <w:rPr>
                <w:color w:val="auto"/>
                <w:szCs w:val="21"/>
                <w:highlight w:val="none"/>
              </w:rPr>
            </w:pPr>
            <w:r>
              <w:rPr>
                <w:color w:val="auto"/>
                <w:szCs w:val="21"/>
                <w:highlight w:val="none"/>
              </w:rPr>
              <w:t>投标内容</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符合第一章“投标人须知”规定。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8" w:type="dxa"/>
            <w:vMerge w:val="continue"/>
            <w:noWrap w:val="0"/>
            <w:vAlign w:val="top"/>
          </w:tcPr>
          <w:p>
            <w:pPr>
              <w:adjustRightInd w:val="0"/>
              <w:snapToGrid w:val="0"/>
              <w:spacing w:line="440" w:lineRule="exact"/>
              <w:jc w:val="center"/>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jc w:val="center"/>
              <w:rPr>
                <w:rFonts w:hint="eastAsia" w:ascii="宋体" w:hAnsi="宋体" w:cs="宋体"/>
                <w:color w:val="auto"/>
                <w:szCs w:val="21"/>
                <w:highlight w:val="none"/>
              </w:rPr>
            </w:pPr>
          </w:p>
        </w:tc>
        <w:tc>
          <w:tcPr>
            <w:tcW w:w="3355" w:type="dxa"/>
            <w:gridSpan w:val="3"/>
            <w:noWrap w:val="0"/>
            <w:vAlign w:val="center"/>
          </w:tcPr>
          <w:p>
            <w:pPr>
              <w:adjustRightInd w:val="0"/>
              <w:snapToGrid w:val="0"/>
              <w:spacing w:line="440" w:lineRule="exact"/>
              <w:jc w:val="center"/>
              <w:textAlignment w:val="baseline"/>
              <w:rPr>
                <w:color w:val="auto"/>
                <w:szCs w:val="21"/>
                <w:highlight w:val="none"/>
              </w:rPr>
            </w:pPr>
            <w:r>
              <w:rPr>
                <w:color w:val="auto"/>
                <w:szCs w:val="21"/>
                <w:highlight w:val="none"/>
              </w:rPr>
              <w:t>权利义务</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08" w:type="dxa"/>
            <w:vMerge w:val="continue"/>
            <w:noWrap w:val="0"/>
            <w:vAlign w:val="top"/>
          </w:tcPr>
          <w:p>
            <w:pPr>
              <w:adjustRightInd w:val="0"/>
              <w:snapToGrid w:val="0"/>
              <w:spacing w:line="440" w:lineRule="exact"/>
              <w:jc w:val="center"/>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jc w:val="center"/>
              <w:rPr>
                <w:rFonts w:hint="eastAsia" w:ascii="宋体" w:hAnsi="宋体" w:cs="宋体"/>
                <w:color w:val="auto"/>
                <w:szCs w:val="21"/>
                <w:highlight w:val="none"/>
              </w:rPr>
            </w:pPr>
          </w:p>
        </w:tc>
        <w:tc>
          <w:tcPr>
            <w:tcW w:w="3355" w:type="dxa"/>
            <w:gridSpan w:val="3"/>
            <w:noWrap w:val="0"/>
            <w:vAlign w:val="center"/>
          </w:tcPr>
          <w:p>
            <w:pPr>
              <w:adjustRightInd w:val="0"/>
              <w:snapToGrid w:val="0"/>
              <w:spacing w:line="440" w:lineRule="exact"/>
              <w:jc w:val="center"/>
              <w:textAlignment w:val="baseline"/>
              <w:rPr>
                <w:color w:val="auto"/>
                <w:szCs w:val="21"/>
                <w:highlight w:val="none"/>
              </w:rPr>
            </w:pPr>
            <w:r>
              <w:rPr>
                <w:rFonts w:hint="eastAsia"/>
                <w:color w:val="auto"/>
                <w:szCs w:val="21"/>
                <w:highlight w:val="none"/>
              </w:rPr>
              <w:t>技术标准和要求</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符合第</w:t>
            </w:r>
            <w:r>
              <w:rPr>
                <w:rFonts w:hint="eastAsia" w:ascii="宋体" w:hAnsi="宋体" w:cs="宋体"/>
                <w:color w:val="auto"/>
                <w:szCs w:val="21"/>
                <w:highlight w:val="none"/>
                <w:lang w:val="en-US" w:eastAsia="zh-CN"/>
              </w:rPr>
              <w:t>五</w:t>
            </w:r>
            <w:r>
              <w:rPr>
                <w:rFonts w:hint="eastAsia" w:ascii="宋体" w:hAnsi="宋体" w:cs="宋体"/>
                <w:color w:val="auto"/>
                <w:szCs w:val="21"/>
                <w:highlight w:val="none"/>
              </w:rPr>
              <w:t>章“</w:t>
            </w:r>
            <w:r>
              <w:rPr>
                <w:rFonts w:hint="eastAsia" w:ascii="宋体" w:hAnsi="宋体" w:eastAsia="宋体" w:cs="宋体"/>
                <w:b w:val="0"/>
                <w:bCs w:val="0"/>
                <w:caps w:val="0"/>
                <w:sz w:val="24"/>
                <w:szCs w:val="24"/>
                <w:highlight w:val="none"/>
                <w:lang w:val="en-US" w:eastAsia="zh-CN"/>
              </w:rPr>
              <w:t>工程量清单</w:t>
            </w:r>
            <w:r>
              <w:rPr>
                <w:rFonts w:hint="eastAsia" w:ascii="宋体" w:hAnsi="宋体" w:cs="宋体"/>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8" w:type="dxa"/>
            <w:vMerge w:val="restart"/>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4.1.3</w:t>
            </w:r>
          </w:p>
        </w:tc>
        <w:tc>
          <w:tcPr>
            <w:tcW w:w="1276" w:type="dxa"/>
            <w:vMerge w:val="restart"/>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详细评审标准</w:t>
            </w:r>
          </w:p>
          <w:p>
            <w:pPr>
              <w:adjustRightInd w:val="0"/>
              <w:snapToGrid w:val="0"/>
              <w:spacing w:line="440" w:lineRule="exact"/>
              <w:jc w:val="center"/>
              <w:rPr>
                <w:rFonts w:hint="eastAsia" w:ascii="宋体" w:hAnsi="宋体" w:cs="宋体"/>
                <w:color w:val="auto"/>
                <w:szCs w:val="21"/>
                <w:highlight w:val="none"/>
              </w:rPr>
            </w:pPr>
          </w:p>
        </w:tc>
        <w:tc>
          <w:tcPr>
            <w:tcW w:w="675" w:type="dxa"/>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项目管理机构</w:t>
            </w:r>
          </w:p>
        </w:tc>
        <w:tc>
          <w:tcPr>
            <w:tcW w:w="54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1</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项目经理（建造师）任职资格与业绩</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拟任项目经理（建造师）必须与资格审查合格通过的项目经理（建造师）在姓名、专业、资质等级方面一致。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restart"/>
            <w:noWrap w:val="0"/>
            <w:vAlign w:val="center"/>
          </w:tcPr>
          <w:p>
            <w:pPr>
              <w:adjustRightInd w:val="0"/>
              <w:snapToGrid w:val="0"/>
              <w:spacing w:line="440" w:lineRule="exact"/>
              <w:jc w:val="center"/>
              <w:rPr>
                <w:rFonts w:hint="eastAsia" w:ascii="宋体" w:hAnsi="宋体" w:cs="宋体"/>
                <w:color w:val="auto"/>
                <w:szCs w:val="21"/>
                <w:highlight w:val="none"/>
              </w:rPr>
            </w:pPr>
          </w:p>
          <w:p>
            <w:pPr>
              <w:adjustRightInd w:val="0"/>
              <w:snapToGrid w:val="0"/>
              <w:spacing w:line="440" w:lineRule="exact"/>
              <w:jc w:val="center"/>
              <w:rPr>
                <w:rFonts w:hint="eastAsia" w:ascii="宋体" w:hAnsi="宋体" w:cs="宋体"/>
                <w:color w:val="auto"/>
                <w:szCs w:val="21"/>
                <w:highlight w:val="none"/>
              </w:rPr>
            </w:pPr>
          </w:p>
          <w:p>
            <w:pPr>
              <w:adjustRightInd w:val="0"/>
              <w:snapToGrid w:val="0"/>
              <w:spacing w:line="440" w:lineRule="exact"/>
              <w:jc w:val="center"/>
              <w:rPr>
                <w:rFonts w:hint="eastAsia" w:ascii="宋体" w:hAnsi="宋体" w:cs="宋体"/>
                <w:color w:val="auto"/>
                <w:szCs w:val="21"/>
                <w:highlight w:val="none"/>
              </w:rPr>
            </w:pPr>
          </w:p>
          <w:p>
            <w:pPr>
              <w:adjustRightInd w:val="0"/>
              <w:snapToGrid w:val="0"/>
              <w:spacing w:line="440" w:lineRule="exact"/>
              <w:jc w:val="center"/>
              <w:rPr>
                <w:rFonts w:hint="eastAsia" w:ascii="宋体" w:hAnsi="宋体" w:cs="宋体"/>
                <w:color w:val="auto"/>
                <w:szCs w:val="21"/>
                <w:highlight w:val="none"/>
              </w:rPr>
            </w:pPr>
          </w:p>
          <w:p>
            <w:pPr>
              <w:adjustRightInd w:val="0"/>
              <w:snapToGrid w:val="0"/>
              <w:spacing w:line="440" w:lineRule="exact"/>
              <w:rPr>
                <w:rFonts w:hint="eastAsia" w:ascii="宋体" w:hAnsi="宋体" w:cs="宋体"/>
                <w:color w:val="auto"/>
                <w:szCs w:val="21"/>
                <w:highlight w:val="none"/>
              </w:rPr>
            </w:pPr>
          </w:p>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施工组织设计</w:t>
            </w: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工程概况</w:t>
            </w:r>
          </w:p>
        </w:tc>
        <w:tc>
          <w:tcPr>
            <w:tcW w:w="4452" w:type="dxa"/>
            <w:noWrap w:val="0"/>
            <w:vAlign w:val="center"/>
          </w:tcPr>
          <w:p>
            <w:pPr>
              <w:adjustRightInd w:val="0"/>
              <w:snapToGrid w:val="0"/>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描述是否准确。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3</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主要施工方法</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各主要分部施工方法符合项目实际，须有详尽的施工技术方案，工艺先进、方法科学合理、可行，能指导具体施工并确保安全。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4</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拟投入的主要物资计划</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投入的施工材料有详细计划且计划周密，数量、选型配置、进场数量、时间安排合理，满足施工需要。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拟投入的主要施工机械、设备计划</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投入的施工机械、设备、机具有详细计划且计划周密，设备数量、选型配置、进场数量、时间 合理、满足施工需要。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劳动力安排计划</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各主要施工工序应有详细周密的劳动力安排计划明细，有各工种劳动力安排计划。劳动力投入经济合理，满足施工需要。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确保工程质量的技术组织措施</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施工项目应有专门的质量技术管理班子和制度，且人员配备合理，制度健全，主要工序应有质量技术保证措施和手段，自控体系完整，能有效的保证技术质量，达到承诺的质量标准。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确保安全生产的技术组织措施</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施工项目应有专门的安全管理人员和制度，且且人员配备合理，制度健全，各道工序安全技术措施针对性强，符合实际且满足有关安全技术标准要求。现场防火、社会治安安全措施得力。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9"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确保工期的技术组织措施</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在施工工艺、施工方法、材料选用、劳动力安排、技术等方面有保证工期的具体措施且措施得当。有控制工期的施工进度计划。应有施工总进度表或施工网络图，各项计划图表编制完善，安排科学合理，符合本项目施工实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确保文明施工的技术组织措施</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针对本工程特点，应有现场文明施工计划，环境保护措施，且计划措施内容应达到“安全文明示范工地”标准。各项措施周全、具体、有效。有具体实现现场文明施工目标的承诺。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工程施工重点和难点及保证措施</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是否正确。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2</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施工总平面布置图</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应有施工总平面布置图，安排科学合理，符合本项目施工实际要求。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3</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施工组织设计整体</w:t>
            </w:r>
          </w:p>
        </w:tc>
        <w:tc>
          <w:tcPr>
            <w:tcW w:w="4452" w:type="dxa"/>
            <w:noWrap w:val="0"/>
            <w:vAlign w:val="center"/>
          </w:tcPr>
          <w:p>
            <w:pPr>
              <w:adjustRightInd w:val="0"/>
              <w:snapToGrid w:val="0"/>
              <w:spacing w:line="440" w:lineRule="exact"/>
              <w:rPr>
                <w:rFonts w:hint="eastAsia" w:ascii="宋体" w:hAnsi="宋体" w:cs="宋体"/>
                <w:color w:val="auto"/>
                <w:szCs w:val="21"/>
                <w:highlight w:val="none"/>
              </w:rPr>
            </w:pPr>
            <w:r>
              <w:rPr>
                <w:rFonts w:hint="eastAsia" w:ascii="宋体" w:hAnsi="宋体" w:cs="宋体"/>
                <w:color w:val="auto"/>
                <w:szCs w:val="21"/>
                <w:highlight w:val="none"/>
              </w:rPr>
              <w:t>针对性、完整性符合要求。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08"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1276"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675" w:type="dxa"/>
            <w:vMerge w:val="continue"/>
            <w:noWrap w:val="0"/>
            <w:vAlign w:val="top"/>
          </w:tcPr>
          <w:p>
            <w:pPr>
              <w:adjustRightInd w:val="0"/>
              <w:snapToGrid w:val="0"/>
              <w:spacing w:line="440" w:lineRule="exact"/>
              <w:rPr>
                <w:rFonts w:hint="eastAsia" w:ascii="宋体" w:hAnsi="宋体" w:cs="宋体"/>
                <w:color w:val="auto"/>
                <w:szCs w:val="21"/>
                <w:highlight w:val="none"/>
              </w:rPr>
            </w:pPr>
          </w:p>
        </w:tc>
        <w:tc>
          <w:tcPr>
            <w:tcW w:w="545" w:type="dxa"/>
            <w:noWrap w:val="0"/>
            <w:vAlign w:val="center"/>
          </w:tcPr>
          <w:p>
            <w:pPr>
              <w:adjustRightInd w:val="0"/>
              <w:snapToGrid w:val="0"/>
              <w:spacing w:line="44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35" w:type="dxa"/>
            <w:noWrap w:val="0"/>
            <w:vAlign w:val="center"/>
          </w:tcPr>
          <w:p>
            <w:pPr>
              <w:adjustRightInd w:val="0"/>
              <w:snapToGrid w:val="0"/>
              <w:spacing w:line="440" w:lineRule="exact"/>
              <w:jc w:val="left"/>
              <w:rPr>
                <w:rFonts w:hint="eastAsia" w:ascii="宋体" w:hAnsi="宋体" w:cs="宋体"/>
                <w:color w:val="auto"/>
                <w:szCs w:val="21"/>
                <w:highlight w:val="none"/>
              </w:rPr>
            </w:pPr>
            <w:r>
              <w:rPr>
                <w:rFonts w:hint="eastAsia" w:ascii="宋体" w:hAnsi="宋体" w:cs="宋体"/>
                <w:color w:val="auto"/>
                <w:szCs w:val="21"/>
                <w:highlight w:val="none"/>
              </w:rPr>
              <w:t>其他内容（如有）</w:t>
            </w:r>
          </w:p>
        </w:tc>
        <w:tc>
          <w:tcPr>
            <w:tcW w:w="4452" w:type="dxa"/>
            <w:noWrap w:val="0"/>
            <w:vAlign w:val="center"/>
          </w:tcPr>
          <w:p>
            <w:pPr>
              <w:adjustRightInd w:val="0"/>
              <w:snapToGrid w:val="0"/>
              <w:spacing w:line="440" w:lineRule="exact"/>
              <w:jc w:val="center"/>
              <w:rPr>
                <w:rFonts w:hint="eastAsia" w:ascii="宋体" w:hAnsi="宋体" w:cs="宋体"/>
                <w:color w:val="auto"/>
                <w:szCs w:val="21"/>
                <w:highlight w:val="none"/>
              </w:rPr>
            </w:pPr>
          </w:p>
        </w:tc>
      </w:tr>
    </w:tbl>
    <w:p>
      <w:pPr>
        <w:pStyle w:val="28"/>
        <w:keepNext w:val="0"/>
        <w:keepLines w:val="0"/>
        <w:pageBreakBefore w:val="0"/>
        <w:widowControl w:val="0"/>
        <w:numPr>
          <w:ilvl w:val="0"/>
          <w:numId w:val="0"/>
        </w:numPr>
        <w:kinsoku/>
        <w:wordWrap/>
        <w:overflowPunct/>
        <w:topLinePunct w:val="0"/>
        <w:autoSpaceDE/>
        <w:autoSpaceDN/>
        <w:bidi w:val="0"/>
        <w:adjustRightInd/>
        <w:snapToGrid/>
        <w:spacing w:before="95" w:beforeLines="30" w:after="95" w:afterLines="30" w:line="440" w:lineRule="exact"/>
        <w:ind w:leftChars="200"/>
        <w:jc w:val="center"/>
        <w:textAlignment w:val="auto"/>
        <w:rPr>
          <w:rFonts w:hint="eastAsia" w:ascii="Times New Roman" w:hAnsi="Times New Roman" w:eastAsia="宋体" w:cs="Times New Roman"/>
          <w:b/>
          <w:color w:val="auto"/>
          <w:sz w:val="28"/>
          <w:szCs w:val="21"/>
          <w:lang w:val="en-US" w:eastAsia="zh-CN"/>
        </w:rPr>
      </w:pPr>
      <w:r>
        <w:rPr>
          <w:rFonts w:hint="eastAsia" w:ascii="Times New Roman" w:hAnsi="Times New Roman" w:eastAsia="宋体" w:cs="Times New Roman"/>
          <w:b/>
          <w:color w:val="auto"/>
          <w:sz w:val="28"/>
          <w:szCs w:val="21"/>
          <w:lang w:val="en-US" w:eastAsia="zh-CN"/>
        </w:rPr>
        <w:t>（二）商务标评审</w:t>
      </w:r>
    </w:p>
    <w:tbl>
      <w:tblPr>
        <w:tblStyle w:val="46"/>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860"/>
        <w:gridCol w:w="3802"/>
        <w:gridCol w:w="3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671" w:type="dxa"/>
            <w:gridSpan w:val="2"/>
            <w:noWrap/>
            <w:vAlign w:val="center"/>
          </w:tcPr>
          <w:p>
            <w:pPr>
              <w:spacing w:line="440" w:lineRule="exact"/>
              <w:jc w:val="center"/>
              <w:rPr>
                <w:rFonts w:ascii="宋体" w:hAnsi="宋体" w:cs="宋体"/>
                <w:b/>
                <w:bCs/>
                <w:szCs w:val="21"/>
                <w:highlight w:val="none"/>
              </w:rPr>
            </w:pPr>
            <w:r>
              <w:rPr>
                <w:rFonts w:hint="eastAsia" w:ascii="宋体" w:hAnsi="宋体" w:cs="宋体"/>
                <w:b/>
                <w:bCs/>
                <w:szCs w:val="21"/>
                <w:highlight w:val="none"/>
                <w:lang w:val="en-US" w:eastAsia="zh-CN"/>
              </w:rPr>
              <w:t>序</w:t>
            </w:r>
            <w:r>
              <w:rPr>
                <w:rFonts w:hint="eastAsia" w:ascii="宋体" w:hAnsi="宋体" w:cs="宋体"/>
                <w:b/>
                <w:bCs/>
                <w:szCs w:val="21"/>
                <w:highlight w:val="none"/>
              </w:rPr>
              <w:t>号</w:t>
            </w:r>
          </w:p>
        </w:tc>
        <w:tc>
          <w:tcPr>
            <w:tcW w:w="3802" w:type="dxa"/>
            <w:noWrap/>
            <w:vAlign w:val="center"/>
          </w:tcPr>
          <w:p>
            <w:pPr>
              <w:spacing w:line="440" w:lineRule="exact"/>
              <w:jc w:val="center"/>
              <w:rPr>
                <w:rFonts w:ascii="宋体" w:hAnsi="宋体" w:cs="宋体"/>
                <w:b/>
                <w:bCs/>
                <w:szCs w:val="21"/>
                <w:highlight w:val="none"/>
              </w:rPr>
            </w:pPr>
            <w:r>
              <w:rPr>
                <w:rFonts w:hint="eastAsia" w:ascii="宋体" w:hAnsi="宋体" w:cs="宋体"/>
                <w:b/>
                <w:bCs/>
                <w:szCs w:val="21"/>
                <w:highlight w:val="none"/>
              </w:rPr>
              <w:t>评审因素</w:t>
            </w:r>
          </w:p>
        </w:tc>
        <w:tc>
          <w:tcPr>
            <w:tcW w:w="3083" w:type="dxa"/>
            <w:noWrap/>
            <w:vAlign w:val="center"/>
          </w:tcPr>
          <w:p>
            <w:pPr>
              <w:spacing w:line="440" w:lineRule="exact"/>
              <w:jc w:val="center"/>
              <w:rPr>
                <w:rFonts w:ascii="宋体" w:hAnsi="宋体" w:cs="宋体"/>
                <w:b/>
                <w:bCs/>
                <w:szCs w:val="21"/>
                <w:highlight w:val="none"/>
              </w:rPr>
            </w:pPr>
            <w:r>
              <w:rPr>
                <w:rFonts w:hint="eastAsia" w:ascii="宋体" w:hAnsi="宋体" w:cs="宋体"/>
                <w:b/>
                <w:bCs/>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11" w:type="dxa"/>
            <w:vMerge w:val="restart"/>
            <w:noWrap/>
            <w:vAlign w:val="center"/>
          </w:tcPr>
          <w:p>
            <w:pPr>
              <w:spacing w:line="44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1</w:t>
            </w:r>
          </w:p>
        </w:tc>
        <w:tc>
          <w:tcPr>
            <w:tcW w:w="1860" w:type="dxa"/>
            <w:vMerge w:val="restart"/>
            <w:noWrap/>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形式评审标准</w:t>
            </w:r>
          </w:p>
        </w:tc>
        <w:tc>
          <w:tcPr>
            <w:tcW w:w="3802" w:type="dxa"/>
            <w:noWrap/>
            <w:vAlign w:val="center"/>
          </w:tcPr>
          <w:p>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投标函签字盖章</w:t>
            </w:r>
          </w:p>
        </w:tc>
        <w:tc>
          <w:tcPr>
            <w:tcW w:w="3083" w:type="dxa"/>
            <w:noWrap/>
            <w:vAlign w:val="center"/>
          </w:tcPr>
          <w:p>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有投标人及其法定代表人</w:t>
            </w:r>
            <w:r>
              <w:rPr>
                <w:rFonts w:hint="eastAsia" w:ascii="宋体" w:hAnsi="宋体" w:eastAsia="宋体" w:cs="宋体"/>
                <w:szCs w:val="21"/>
                <w:highlight w:val="none"/>
                <w:lang w:val="en-US" w:eastAsia="zh-CN"/>
              </w:rPr>
              <w:t>签字或盖章</w:t>
            </w:r>
            <w:r>
              <w:rPr>
                <w:rFonts w:hint="eastAsia" w:ascii="宋体" w:hAnsi="宋体" w:eastAsia="宋体" w:cs="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11" w:type="dxa"/>
            <w:vMerge w:val="continue"/>
            <w:noWrap/>
          </w:tcPr>
          <w:p>
            <w:pPr>
              <w:spacing w:line="440" w:lineRule="exact"/>
              <w:rPr>
                <w:rFonts w:ascii="宋体" w:hAnsi="宋体" w:cs="宋体"/>
                <w:szCs w:val="21"/>
                <w:highlight w:val="none"/>
              </w:rPr>
            </w:pPr>
          </w:p>
        </w:tc>
        <w:tc>
          <w:tcPr>
            <w:tcW w:w="1860" w:type="dxa"/>
            <w:vMerge w:val="continue"/>
            <w:noWrap/>
          </w:tcPr>
          <w:p>
            <w:pPr>
              <w:spacing w:line="440" w:lineRule="exact"/>
              <w:rPr>
                <w:rFonts w:ascii="宋体" w:hAnsi="宋体" w:cs="宋体"/>
                <w:szCs w:val="21"/>
                <w:highlight w:val="none"/>
              </w:rPr>
            </w:pPr>
          </w:p>
        </w:tc>
        <w:tc>
          <w:tcPr>
            <w:tcW w:w="3802" w:type="dxa"/>
            <w:noWrap/>
            <w:vAlign w:val="center"/>
          </w:tcPr>
          <w:p>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投标文件格式</w:t>
            </w:r>
          </w:p>
        </w:tc>
        <w:tc>
          <w:tcPr>
            <w:tcW w:w="3083" w:type="dxa"/>
            <w:noWrap/>
            <w:vAlign w:val="center"/>
          </w:tcPr>
          <w:p>
            <w:pPr>
              <w:spacing w:line="440" w:lineRule="exact"/>
              <w:jc w:val="left"/>
              <w:rPr>
                <w:rFonts w:hint="eastAsia" w:ascii="宋体" w:hAnsi="宋体" w:eastAsia="宋体" w:cs="宋体"/>
                <w:szCs w:val="21"/>
                <w:highlight w:val="none"/>
                <w:lang w:eastAsia="zh-CN"/>
              </w:rPr>
            </w:pPr>
            <w:r>
              <w:rPr>
                <w:rFonts w:hint="eastAsia" w:ascii="宋体" w:hAnsi="宋体" w:eastAsia="宋体" w:cs="宋体"/>
                <w:szCs w:val="21"/>
                <w:highlight w:val="none"/>
              </w:rPr>
              <w:t>符合第</w:t>
            </w:r>
            <w:r>
              <w:rPr>
                <w:rFonts w:hint="eastAsia" w:ascii="宋体" w:hAnsi="宋体" w:cs="宋体"/>
                <w:szCs w:val="21"/>
                <w:highlight w:val="none"/>
                <w:lang w:val="en-US" w:eastAsia="zh-CN"/>
              </w:rPr>
              <w:t>六</w:t>
            </w:r>
            <w:r>
              <w:rPr>
                <w:rFonts w:hint="eastAsia" w:ascii="宋体" w:hAnsi="宋体" w:eastAsia="宋体" w:cs="宋体"/>
                <w:szCs w:val="21"/>
                <w:highlight w:val="none"/>
              </w:rPr>
              <w:t>章“投标文件格式”的要求</w:t>
            </w:r>
            <w:r>
              <w:rPr>
                <w:rFonts w:hint="eastAsia" w:ascii="宋体" w:hAnsi="宋体" w:eastAsia="宋体"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11" w:type="dxa"/>
            <w:vMerge w:val="continue"/>
            <w:noWrap/>
          </w:tcPr>
          <w:p>
            <w:pPr>
              <w:spacing w:line="440" w:lineRule="exact"/>
              <w:rPr>
                <w:rFonts w:ascii="宋体" w:hAnsi="宋体" w:cs="宋体"/>
                <w:szCs w:val="21"/>
                <w:highlight w:val="none"/>
              </w:rPr>
            </w:pPr>
          </w:p>
        </w:tc>
        <w:tc>
          <w:tcPr>
            <w:tcW w:w="1860" w:type="dxa"/>
            <w:vMerge w:val="continue"/>
            <w:noWrap/>
          </w:tcPr>
          <w:p>
            <w:pPr>
              <w:spacing w:line="440" w:lineRule="exact"/>
              <w:rPr>
                <w:rFonts w:ascii="宋体" w:hAnsi="宋体" w:cs="宋体"/>
                <w:szCs w:val="21"/>
                <w:highlight w:val="none"/>
              </w:rPr>
            </w:pPr>
          </w:p>
        </w:tc>
        <w:tc>
          <w:tcPr>
            <w:tcW w:w="3802" w:type="dxa"/>
            <w:noWrap/>
            <w:vAlign w:val="center"/>
          </w:tcPr>
          <w:p>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商务标签字盖章</w:t>
            </w:r>
          </w:p>
        </w:tc>
        <w:tc>
          <w:tcPr>
            <w:tcW w:w="3083" w:type="dxa"/>
            <w:noWrap/>
            <w:vAlign w:val="center"/>
          </w:tcPr>
          <w:p>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按投标文件格式要求签章。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11" w:type="dxa"/>
            <w:vMerge w:val="continue"/>
            <w:noWrap/>
          </w:tcPr>
          <w:p>
            <w:pPr>
              <w:spacing w:line="440" w:lineRule="exact"/>
              <w:rPr>
                <w:rFonts w:ascii="宋体" w:hAnsi="宋体" w:cs="宋体"/>
                <w:szCs w:val="21"/>
                <w:highlight w:val="none"/>
              </w:rPr>
            </w:pPr>
          </w:p>
        </w:tc>
        <w:tc>
          <w:tcPr>
            <w:tcW w:w="1860" w:type="dxa"/>
            <w:vMerge w:val="continue"/>
            <w:noWrap/>
          </w:tcPr>
          <w:p>
            <w:pPr>
              <w:spacing w:line="440" w:lineRule="exact"/>
              <w:rPr>
                <w:rFonts w:ascii="宋体" w:hAnsi="宋体" w:cs="宋体"/>
                <w:szCs w:val="21"/>
                <w:highlight w:val="none"/>
              </w:rPr>
            </w:pPr>
          </w:p>
        </w:tc>
        <w:tc>
          <w:tcPr>
            <w:tcW w:w="3802" w:type="dxa"/>
            <w:noWrap/>
            <w:vAlign w:val="center"/>
          </w:tcPr>
          <w:p>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报价唯一</w:t>
            </w:r>
          </w:p>
        </w:tc>
        <w:tc>
          <w:tcPr>
            <w:tcW w:w="3083" w:type="dxa"/>
            <w:noWrap/>
            <w:vAlign w:val="center"/>
          </w:tcPr>
          <w:p>
            <w:pPr>
              <w:spacing w:line="440" w:lineRule="exact"/>
              <w:jc w:val="left"/>
              <w:rPr>
                <w:rFonts w:hint="eastAsia" w:ascii="宋体" w:hAnsi="宋体" w:eastAsia="宋体" w:cs="宋体"/>
                <w:szCs w:val="21"/>
                <w:highlight w:val="none"/>
                <w:lang w:eastAsia="zh-CN"/>
              </w:rPr>
            </w:pPr>
            <w:r>
              <w:rPr>
                <w:rFonts w:hint="eastAsia" w:ascii="宋体" w:hAnsi="宋体" w:eastAsia="宋体" w:cs="宋体"/>
                <w:szCs w:val="21"/>
                <w:highlight w:val="none"/>
              </w:rPr>
              <w:t>只能有一个报价</w:t>
            </w:r>
            <w:r>
              <w:rPr>
                <w:rFonts w:hint="eastAsia" w:ascii="宋体" w:hAnsi="宋体" w:eastAsia="宋体"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11" w:type="dxa"/>
            <w:vMerge w:val="restart"/>
            <w:noWrap/>
            <w:vAlign w:val="center"/>
          </w:tcPr>
          <w:p>
            <w:pPr>
              <w:spacing w:line="44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2</w:t>
            </w:r>
          </w:p>
        </w:tc>
        <w:tc>
          <w:tcPr>
            <w:tcW w:w="1860" w:type="dxa"/>
            <w:vMerge w:val="restart"/>
            <w:noWrap/>
            <w:vAlign w:val="center"/>
          </w:tcPr>
          <w:p>
            <w:pPr>
              <w:spacing w:line="440" w:lineRule="exact"/>
              <w:rPr>
                <w:rFonts w:ascii="宋体" w:hAnsi="宋体" w:cs="宋体"/>
                <w:szCs w:val="21"/>
                <w:highlight w:val="none"/>
              </w:rPr>
            </w:pPr>
            <w:r>
              <w:rPr>
                <w:rFonts w:hint="eastAsia" w:ascii="宋体" w:hAnsi="宋体" w:cs="宋体"/>
                <w:szCs w:val="21"/>
                <w:highlight w:val="none"/>
              </w:rPr>
              <w:t>响应性评审标准</w:t>
            </w:r>
          </w:p>
        </w:tc>
        <w:tc>
          <w:tcPr>
            <w:tcW w:w="3802" w:type="dxa"/>
            <w:noWrap/>
            <w:vAlign w:val="center"/>
          </w:tcPr>
          <w:p>
            <w:pPr>
              <w:adjustRightInd w:val="0"/>
              <w:snapToGrid w:val="0"/>
              <w:spacing w:line="560" w:lineRule="exact"/>
              <w:jc w:val="left"/>
              <w:rPr>
                <w:rFonts w:ascii="宋体" w:hAnsi="宋体" w:cs="宋体"/>
                <w:szCs w:val="21"/>
                <w:highlight w:val="none"/>
              </w:rPr>
            </w:pPr>
            <w:r>
              <w:rPr>
                <w:rFonts w:hint="eastAsia" w:ascii="宋体" w:hAnsi="宋体"/>
                <w:color w:val="auto"/>
                <w:szCs w:val="21"/>
                <w:highlight w:val="none"/>
              </w:rPr>
              <w:t>工期</w:t>
            </w:r>
          </w:p>
        </w:tc>
        <w:tc>
          <w:tcPr>
            <w:tcW w:w="3083" w:type="dxa"/>
            <w:noWrap/>
            <w:vAlign w:val="center"/>
          </w:tcPr>
          <w:p>
            <w:pPr>
              <w:adjustRightInd w:val="0"/>
              <w:snapToGrid w:val="0"/>
              <w:spacing w:line="560" w:lineRule="exact"/>
              <w:rPr>
                <w:rFonts w:ascii="宋体" w:hAnsi="宋体" w:cs="宋体"/>
                <w:szCs w:val="21"/>
                <w:highlight w:val="none"/>
              </w:rPr>
            </w:pPr>
            <w:r>
              <w:rPr>
                <w:rFonts w:hint="eastAsia" w:ascii="宋体" w:hAnsi="宋体"/>
                <w:color w:val="auto"/>
                <w:szCs w:val="21"/>
                <w:highlight w:val="none"/>
              </w:rPr>
              <w:t>符合投标须知前附表规定。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11" w:type="dxa"/>
            <w:vMerge w:val="continue"/>
            <w:noWrap/>
          </w:tcPr>
          <w:p>
            <w:pPr>
              <w:spacing w:line="440" w:lineRule="exact"/>
              <w:rPr>
                <w:rFonts w:ascii="宋体" w:hAnsi="宋体" w:cs="宋体"/>
                <w:szCs w:val="21"/>
                <w:highlight w:val="none"/>
              </w:rPr>
            </w:pPr>
          </w:p>
        </w:tc>
        <w:tc>
          <w:tcPr>
            <w:tcW w:w="1860" w:type="dxa"/>
            <w:vMerge w:val="continue"/>
            <w:noWrap/>
          </w:tcPr>
          <w:p>
            <w:pPr>
              <w:spacing w:line="440" w:lineRule="exact"/>
              <w:rPr>
                <w:rFonts w:ascii="宋体" w:hAnsi="宋体" w:cs="宋体"/>
                <w:szCs w:val="21"/>
                <w:highlight w:val="none"/>
              </w:rPr>
            </w:pPr>
          </w:p>
        </w:tc>
        <w:tc>
          <w:tcPr>
            <w:tcW w:w="3802" w:type="dxa"/>
            <w:noWrap/>
            <w:vAlign w:val="center"/>
          </w:tcPr>
          <w:p>
            <w:pPr>
              <w:adjustRightInd w:val="0"/>
              <w:snapToGrid w:val="0"/>
              <w:spacing w:line="560" w:lineRule="exact"/>
              <w:rPr>
                <w:rFonts w:ascii="宋体" w:hAnsi="宋体" w:cs="宋体"/>
                <w:szCs w:val="21"/>
                <w:highlight w:val="none"/>
              </w:rPr>
            </w:pPr>
            <w:r>
              <w:rPr>
                <w:rFonts w:hint="eastAsia" w:ascii="宋体" w:hAnsi="宋体"/>
                <w:color w:val="auto"/>
                <w:szCs w:val="21"/>
                <w:highlight w:val="none"/>
              </w:rPr>
              <w:t>工程质量</w:t>
            </w:r>
          </w:p>
        </w:tc>
        <w:tc>
          <w:tcPr>
            <w:tcW w:w="3083" w:type="dxa"/>
            <w:noWrap/>
            <w:vAlign w:val="center"/>
          </w:tcPr>
          <w:p>
            <w:pPr>
              <w:adjustRightInd w:val="0"/>
              <w:snapToGrid w:val="0"/>
              <w:spacing w:line="560" w:lineRule="exact"/>
              <w:rPr>
                <w:rFonts w:ascii="宋体" w:hAnsi="宋体" w:cs="宋体"/>
                <w:szCs w:val="21"/>
                <w:highlight w:val="none"/>
              </w:rPr>
            </w:pPr>
            <w:r>
              <w:rPr>
                <w:rFonts w:hint="eastAsia" w:ascii="宋体" w:hAnsi="宋体"/>
                <w:color w:val="auto"/>
                <w:szCs w:val="21"/>
                <w:highlight w:val="none"/>
              </w:rPr>
              <w:t>符合投标须知前附表规定。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11" w:type="dxa"/>
            <w:vMerge w:val="continue"/>
            <w:noWrap/>
          </w:tcPr>
          <w:p>
            <w:pPr>
              <w:spacing w:line="440" w:lineRule="exact"/>
              <w:rPr>
                <w:rFonts w:ascii="宋体" w:hAnsi="宋体" w:cs="宋体"/>
                <w:szCs w:val="21"/>
                <w:highlight w:val="none"/>
              </w:rPr>
            </w:pPr>
          </w:p>
        </w:tc>
        <w:tc>
          <w:tcPr>
            <w:tcW w:w="1860" w:type="dxa"/>
            <w:vMerge w:val="continue"/>
            <w:noWrap/>
          </w:tcPr>
          <w:p>
            <w:pPr>
              <w:spacing w:line="440" w:lineRule="exact"/>
              <w:rPr>
                <w:rFonts w:ascii="宋体" w:hAnsi="宋体" w:cs="宋体"/>
                <w:szCs w:val="21"/>
                <w:highlight w:val="none"/>
              </w:rPr>
            </w:pPr>
          </w:p>
        </w:tc>
        <w:tc>
          <w:tcPr>
            <w:tcW w:w="3802" w:type="dxa"/>
            <w:noWrap/>
            <w:vAlign w:val="center"/>
          </w:tcPr>
          <w:p>
            <w:pPr>
              <w:adjustRightInd w:val="0"/>
              <w:snapToGrid w:val="0"/>
              <w:spacing w:line="560" w:lineRule="exact"/>
              <w:rPr>
                <w:rFonts w:ascii="宋体" w:hAnsi="宋体" w:cs="宋体"/>
                <w:szCs w:val="21"/>
                <w:highlight w:val="none"/>
              </w:rPr>
            </w:pPr>
            <w:r>
              <w:rPr>
                <w:rFonts w:hint="eastAsia" w:ascii="宋体" w:hAnsi="宋体"/>
                <w:color w:val="auto"/>
                <w:szCs w:val="21"/>
                <w:highlight w:val="none"/>
              </w:rPr>
              <w:t>投标有效期</w:t>
            </w:r>
          </w:p>
        </w:tc>
        <w:tc>
          <w:tcPr>
            <w:tcW w:w="3083" w:type="dxa"/>
            <w:noWrap/>
            <w:vAlign w:val="center"/>
          </w:tcPr>
          <w:p>
            <w:pPr>
              <w:adjustRightInd w:val="0"/>
              <w:snapToGrid w:val="0"/>
              <w:spacing w:line="560" w:lineRule="exact"/>
              <w:rPr>
                <w:rFonts w:ascii="宋体" w:hAnsi="宋体" w:cs="宋体"/>
                <w:szCs w:val="21"/>
                <w:highlight w:val="none"/>
              </w:rPr>
            </w:pPr>
            <w:r>
              <w:rPr>
                <w:rFonts w:hint="eastAsia" w:ascii="宋体" w:hAnsi="宋体"/>
                <w:color w:val="auto"/>
                <w:szCs w:val="21"/>
                <w:highlight w:val="none"/>
              </w:rPr>
              <w:t>符合投标须知前附表规定。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11" w:type="dxa"/>
            <w:vMerge w:val="continue"/>
            <w:noWrap/>
          </w:tcPr>
          <w:p>
            <w:pPr>
              <w:spacing w:line="440" w:lineRule="exact"/>
              <w:rPr>
                <w:rFonts w:ascii="宋体" w:hAnsi="宋体" w:cs="宋体"/>
                <w:szCs w:val="21"/>
                <w:highlight w:val="none"/>
              </w:rPr>
            </w:pPr>
          </w:p>
        </w:tc>
        <w:tc>
          <w:tcPr>
            <w:tcW w:w="1860" w:type="dxa"/>
            <w:vMerge w:val="continue"/>
            <w:noWrap/>
          </w:tcPr>
          <w:p>
            <w:pPr>
              <w:spacing w:line="440" w:lineRule="exact"/>
              <w:rPr>
                <w:rFonts w:ascii="宋体" w:hAnsi="宋体" w:cs="宋体"/>
                <w:szCs w:val="21"/>
                <w:highlight w:val="none"/>
              </w:rPr>
            </w:pPr>
          </w:p>
        </w:tc>
        <w:tc>
          <w:tcPr>
            <w:tcW w:w="3802" w:type="dxa"/>
            <w:noWrap/>
            <w:vAlign w:val="center"/>
          </w:tcPr>
          <w:p>
            <w:pPr>
              <w:adjustRightInd w:val="0"/>
              <w:snapToGrid w:val="0"/>
              <w:spacing w:line="560" w:lineRule="exact"/>
              <w:rPr>
                <w:rFonts w:ascii="宋体" w:hAnsi="宋体" w:cs="宋体"/>
                <w:szCs w:val="21"/>
                <w:highlight w:val="none"/>
              </w:rPr>
            </w:pPr>
            <w:r>
              <w:rPr>
                <w:rFonts w:hint="eastAsia" w:ascii="宋体" w:hAnsi="宋体"/>
                <w:color w:val="auto"/>
                <w:szCs w:val="21"/>
                <w:highlight w:val="none"/>
              </w:rPr>
              <w:t>已标价工程量清单</w:t>
            </w:r>
          </w:p>
        </w:tc>
        <w:tc>
          <w:tcPr>
            <w:tcW w:w="3083" w:type="dxa"/>
            <w:noWrap/>
            <w:vAlign w:val="center"/>
          </w:tcPr>
          <w:p>
            <w:pPr>
              <w:adjustRightInd w:val="0"/>
              <w:snapToGrid w:val="0"/>
              <w:spacing w:line="560" w:lineRule="exact"/>
              <w:rPr>
                <w:rFonts w:hint="eastAsia" w:ascii="宋体" w:hAnsi="宋体" w:eastAsia="宋体" w:cs="宋体"/>
                <w:szCs w:val="21"/>
                <w:highlight w:val="none"/>
                <w:lang w:eastAsia="zh-CN"/>
              </w:rPr>
            </w:pPr>
            <w:r>
              <w:rPr>
                <w:rFonts w:hint="eastAsia" w:ascii="宋体" w:hAnsi="宋体"/>
                <w:color w:val="auto"/>
                <w:szCs w:val="21"/>
                <w:highlight w:val="none"/>
              </w:rPr>
              <w:t>与招标人发布的招标工程量清单（含需评审材料清单）排序一致</w:t>
            </w:r>
            <w:r>
              <w:rPr>
                <w:rFonts w:hint="eastAsia" w:ascii="宋体" w:hAnsi="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11" w:type="dxa"/>
            <w:vMerge w:val="continue"/>
            <w:noWrap/>
          </w:tcPr>
          <w:p>
            <w:pPr>
              <w:spacing w:line="440" w:lineRule="exact"/>
              <w:rPr>
                <w:rFonts w:ascii="宋体" w:hAnsi="宋体" w:cs="宋体"/>
                <w:szCs w:val="21"/>
                <w:highlight w:val="none"/>
              </w:rPr>
            </w:pPr>
          </w:p>
        </w:tc>
        <w:tc>
          <w:tcPr>
            <w:tcW w:w="1860" w:type="dxa"/>
            <w:vMerge w:val="continue"/>
            <w:noWrap/>
          </w:tcPr>
          <w:p>
            <w:pPr>
              <w:spacing w:line="440" w:lineRule="exact"/>
              <w:rPr>
                <w:rFonts w:ascii="宋体" w:hAnsi="宋体" w:cs="宋体"/>
                <w:szCs w:val="21"/>
                <w:highlight w:val="none"/>
              </w:rPr>
            </w:pPr>
          </w:p>
        </w:tc>
        <w:tc>
          <w:tcPr>
            <w:tcW w:w="3802" w:type="dxa"/>
            <w:noWrap/>
            <w:vAlign w:val="center"/>
          </w:tcPr>
          <w:p>
            <w:pPr>
              <w:adjustRightInd w:val="0"/>
              <w:snapToGrid w:val="0"/>
              <w:spacing w:line="560" w:lineRule="exact"/>
              <w:jc w:val="left"/>
              <w:rPr>
                <w:rFonts w:hint="eastAsia" w:ascii="宋体" w:hAnsi="宋体"/>
                <w:color w:val="auto"/>
                <w:szCs w:val="21"/>
                <w:highlight w:val="none"/>
              </w:rPr>
            </w:pPr>
            <w:r>
              <w:rPr>
                <w:rFonts w:hint="eastAsia" w:ascii="宋体" w:hAnsi="宋体"/>
                <w:color w:val="000000"/>
                <w:szCs w:val="21"/>
              </w:rPr>
              <w:t>投标总价评审</w:t>
            </w:r>
          </w:p>
        </w:tc>
        <w:tc>
          <w:tcPr>
            <w:tcW w:w="3083" w:type="dxa"/>
            <w:noWrap/>
            <w:vAlign w:val="center"/>
          </w:tcPr>
          <w:p>
            <w:pPr>
              <w:adjustRightInd w:val="0"/>
              <w:snapToGrid w:val="0"/>
              <w:spacing w:line="560" w:lineRule="exact"/>
              <w:jc w:val="left"/>
              <w:rPr>
                <w:rFonts w:hint="eastAsia" w:ascii="宋体" w:hAnsi="宋体"/>
                <w:color w:val="auto"/>
                <w:szCs w:val="21"/>
                <w:highlight w:val="none"/>
              </w:rPr>
            </w:pPr>
            <w:r>
              <w:rPr>
                <w:rFonts w:hint="eastAsia" w:ascii="宋体" w:hAnsi="宋体"/>
                <w:color w:val="000000"/>
                <w:spacing w:val="-6"/>
                <w:szCs w:val="21"/>
              </w:rPr>
              <w:t>不得高于最高投标限价，也不得低于工程成本价。</w:t>
            </w:r>
          </w:p>
        </w:tc>
      </w:tr>
    </w:tbl>
    <w:p>
      <w:pPr>
        <w:keepNext w:val="0"/>
        <w:keepLines w:val="0"/>
        <w:pageBreakBefore w:val="0"/>
        <w:widowControl w:val="0"/>
        <w:kinsoku/>
        <w:wordWrap/>
        <w:overflowPunct/>
        <w:topLinePunct w:val="0"/>
        <w:autoSpaceDE/>
        <w:autoSpaceDN/>
        <w:bidi w:val="0"/>
        <w:spacing w:line="400" w:lineRule="exact"/>
        <w:ind w:firstLine="422" w:firstLineChars="200"/>
        <w:textAlignment w:val="auto"/>
        <w:rPr>
          <w:rFonts w:hint="eastAsia" w:ascii="宋体" w:hAnsi="宋体" w:cs="宋体"/>
          <w:color w:val="auto"/>
          <w:szCs w:val="21"/>
          <w:highlight w:val="none"/>
        </w:rPr>
      </w:pPr>
      <w:bookmarkStart w:id="735" w:name="_Toc247085747"/>
      <w:bookmarkStart w:id="736" w:name="_Toc246996975"/>
      <w:bookmarkStart w:id="737" w:name="_Toc246996232"/>
      <w:bookmarkStart w:id="738" w:name="_Toc144974556"/>
      <w:bookmarkStart w:id="739" w:name="_Toc6491"/>
      <w:bookmarkStart w:id="740" w:name="_Toc152045589"/>
      <w:bookmarkStart w:id="741" w:name="_Toc78803381"/>
      <w:bookmarkStart w:id="742" w:name="_Toc179632607"/>
      <w:bookmarkStart w:id="743" w:name="_Toc506107324"/>
      <w:bookmarkStart w:id="744" w:name="_Toc152042366"/>
      <w:bookmarkStart w:id="745" w:name="_Toc35424947"/>
      <w:bookmarkStart w:id="746" w:name="_Toc324404872"/>
      <w:bookmarkStart w:id="747" w:name="_Toc35425113"/>
      <w:bookmarkStart w:id="748" w:name="_Toc15058913"/>
      <w:r>
        <w:rPr>
          <w:rFonts w:hint="eastAsia" w:ascii="黑体" w:hAnsi="黑体" w:eastAsia="黑体" w:cs="黑体"/>
          <w:b/>
          <w:color w:val="auto"/>
          <w:szCs w:val="21"/>
          <w:highlight w:val="none"/>
        </w:rPr>
        <w:t>商务标评审表注：</w:t>
      </w:r>
      <w:r>
        <w:rPr>
          <w:rFonts w:hint="eastAsia" w:ascii="宋体" w:hAnsi="宋体" w:cs="宋体"/>
          <w:color w:val="auto"/>
          <w:szCs w:val="21"/>
          <w:highlight w:val="none"/>
        </w:rPr>
        <w:t>本表所称投标报价是指按招标文件规定修正后的投标总报价（多算投标报价、多报费用不扣减）。</w:t>
      </w:r>
    </w:p>
    <w:p>
      <w:pPr>
        <w:pStyle w:val="6"/>
        <w:pageBreakBefore w:val="0"/>
        <w:widowControl w:val="0"/>
        <w:kinsoku/>
        <w:wordWrap/>
        <w:overflowPunct/>
        <w:topLinePunct w:val="0"/>
        <w:autoSpaceDE/>
        <w:autoSpaceDN/>
        <w:bidi w:val="0"/>
        <w:spacing w:beforeLines="50" w:afterLines="50" w:line="400" w:lineRule="exact"/>
        <w:ind w:firstLine="422" w:firstLineChars="200"/>
        <w:textAlignment w:val="auto"/>
        <w:rPr>
          <w:rFonts w:ascii="宋体" w:hAnsi="宋体" w:eastAsia="宋体" w:cs="宋体"/>
          <w:highlight w:val="none"/>
        </w:rPr>
      </w:pPr>
      <w:r>
        <w:rPr>
          <w:rFonts w:hint="eastAsia" w:ascii="宋体" w:hAnsi="宋体" w:eastAsia="宋体" w:cs="宋体"/>
          <w:highlight w:val="none"/>
        </w:rPr>
        <w:t>1.评标方法</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cs="宋体"/>
          <w:color w:val="auto"/>
          <w:szCs w:val="21"/>
          <w:highlight w:val="none"/>
        </w:rPr>
      </w:pPr>
      <w:bookmarkStart w:id="749" w:name="_Toc506107325"/>
      <w:bookmarkStart w:id="750" w:name="_Toc15058914"/>
      <w:bookmarkStart w:id="751" w:name="_Toc35424948"/>
      <w:bookmarkStart w:id="752" w:name="_Toc35425114"/>
      <w:bookmarkStart w:id="753" w:name="_Toc324404873"/>
      <w:bookmarkStart w:id="754" w:name="_Toc11945"/>
      <w:bookmarkStart w:id="755" w:name="_Toc78803382"/>
      <w:bookmarkStart w:id="756" w:name="_Toc246996233"/>
      <w:bookmarkStart w:id="757" w:name="_Toc152042367"/>
      <w:bookmarkStart w:id="758" w:name="_Toc247085748"/>
      <w:bookmarkStart w:id="759" w:name="_Toc246996976"/>
      <w:bookmarkStart w:id="760" w:name="_Toc179632608"/>
      <w:bookmarkStart w:id="761" w:name="_Toc296602478"/>
      <w:bookmarkStart w:id="762" w:name="_Toc144974557"/>
      <w:bookmarkStart w:id="763" w:name="_Toc152045590"/>
      <w:r>
        <w:rPr>
          <w:rFonts w:hint="eastAsia" w:ascii="宋体" w:hAnsi="宋体" w:cs="宋体"/>
          <w:color w:val="auto"/>
          <w:szCs w:val="21"/>
          <w:highlight w:val="none"/>
        </w:rPr>
        <w:t>本次评标采用</w:t>
      </w:r>
      <w:r>
        <w:rPr>
          <w:rFonts w:hint="eastAsia" w:ascii="宋体" w:hAnsi="宋体" w:cs="宋体"/>
          <w:color w:val="auto"/>
          <w:szCs w:val="21"/>
          <w:highlight w:val="none"/>
          <w:lang w:val="en-US" w:eastAsia="zh-CN"/>
        </w:rPr>
        <w:t>经评审最低价法</w:t>
      </w:r>
      <w:r>
        <w:rPr>
          <w:rFonts w:hint="eastAsia" w:ascii="宋体" w:hAnsi="宋体" w:cs="宋体"/>
          <w:color w:val="auto"/>
          <w:szCs w:val="21"/>
          <w:highlight w:val="none"/>
        </w:rPr>
        <w:t>。评标委员会对满足招标文件实质性要求的投标文件，最终按投标报价最低原则，推荐有效投标报价最低的为第一中标候选人，次低的为第二中标候选人，以此类推，推荐中标候选人应当不超过3名，并标明排序</w:t>
      </w:r>
      <w:r>
        <w:rPr>
          <w:rFonts w:hint="eastAsia" w:ascii="宋体" w:hAnsi="宋体" w:cs="宋体"/>
          <w:color w:val="auto"/>
          <w:szCs w:val="21"/>
          <w:highlight w:val="none"/>
          <w:lang w:eastAsia="zh-CN"/>
        </w:rPr>
        <w:t>。</w:t>
      </w:r>
      <w:r>
        <w:rPr>
          <w:rFonts w:hint="eastAsia" w:ascii="宋体" w:hAnsi="宋体" w:cs="宋体"/>
          <w:color w:val="auto"/>
          <w:szCs w:val="21"/>
          <w:highlight w:val="none"/>
        </w:rPr>
        <w:t>投标报价最低的有效投标人有两名或两名以上相同时，由招标人抽签确定第一中标候选人。</w:t>
      </w:r>
    </w:p>
    <w:p>
      <w:pPr>
        <w:pStyle w:val="6"/>
        <w:pageBreakBefore w:val="0"/>
        <w:widowControl w:val="0"/>
        <w:kinsoku/>
        <w:wordWrap/>
        <w:overflowPunct/>
        <w:topLinePunct w:val="0"/>
        <w:autoSpaceDE/>
        <w:autoSpaceDN/>
        <w:bidi w:val="0"/>
        <w:spacing w:beforeLines="50" w:afterLines="50" w:line="400" w:lineRule="exact"/>
        <w:ind w:firstLine="422" w:firstLineChars="200"/>
        <w:textAlignment w:val="auto"/>
        <w:rPr>
          <w:rFonts w:ascii="宋体" w:hAnsi="宋体" w:eastAsia="宋体" w:cs="宋体"/>
          <w:highlight w:val="none"/>
        </w:rPr>
      </w:pPr>
      <w:r>
        <w:rPr>
          <w:rFonts w:hint="eastAsia" w:ascii="宋体" w:hAnsi="宋体" w:eastAsia="宋体" w:cs="宋体"/>
          <w:highlight w:val="none"/>
        </w:rPr>
        <w:t>2.评标委员会的职责</w:t>
      </w:r>
      <w:bookmarkEnd w:id="749"/>
      <w:bookmarkEnd w:id="750"/>
      <w:bookmarkEnd w:id="751"/>
      <w:bookmarkEnd w:id="752"/>
      <w:bookmarkEnd w:id="753"/>
      <w:bookmarkEnd w:id="754"/>
      <w:bookmarkEnd w:id="755"/>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评标委员会应当根据本评标办法，应进行系统地评审和比较，向招标人推荐中标候选人或根据招标人的授权直接确定中标人。各评委必须独立评审，提出评审意见，不受任何单位或者个人的干预。各评委对其各自评审结果负责，并在评标报告上签字确认。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pStyle w:val="6"/>
        <w:pageBreakBefore w:val="0"/>
        <w:widowControl w:val="0"/>
        <w:kinsoku/>
        <w:wordWrap/>
        <w:overflowPunct/>
        <w:topLinePunct w:val="0"/>
        <w:autoSpaceDE/>
        <w:autoSpaceDN/>
        <w:bidi w:val="0"/>
        <w:spacing w:beforeLines="50" w:afterLines="50" w:line="400" w:lineRule="exact"/>
        <w:ind w:firstLine="422" w:firstLineChars="200"/>
        <w:textAlignment w:val="auto"/>
        <w:rPr>
          <w:rFonts w:ascii="宋体" w:hAnsi="宋体" w:eastAsia="宋体" w:cs="宋体"/>
          <w:highlight w:val="none"/>
        </w:rPr>
      </w:pPr>
      <w:bookmarkStart w:id="764" w:name="_Toc35424949"/>
      <w:bookmarkStart w:id="765" w:name="_Toc15058915"/>
      <w:bookmarkStart w:id="766" w:name="_Toc35425115"/>
      <w:bookmarkStart w:id="767" w:name="_Toc324404874"/>
      <w:bookmarkStart w:id="768" w:name="_Toc506107326"/>
      <w:bookmarkStart w:id="769" w:name="_Toc17377"/>
      <w:bookmarkStart w:id="770" w:name="_Toc78803384"/>
      <w:r>
        <w:rPr>
          <w:rFonts w:hint="eastAsia" w:ascii="宋体" w:hAnsi="宋体" w:eastAsia="宋体" w:cs="宋体"/>
          <w:highlight w:val="none"/>
        </w:rPr>
        <w:t>3.评标程序</w:t>
      </w:r>
      <w:bookmarkEnd w:id="764"/>
      <w:bookmarkEnd w:id="765"/>
      <w:bookmarkEnd w:id="766"/>
      <w:bookmarkEnd w:id="767"/>
      <w:bookmarkEnd w:id="768"/>
      <w:bookmarkEnd w:id="769"/>
      <w:bookmarkEnd w:id="770"/>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评标先做准备工作，先进行资信</w:t>
      </w:r>
      <w:r>
        <w:rPr>
          <w:rFonts w:hint="eastAsia" w:ascii="宋体" w:hAnsi="宋体" w:cs="宋体"/>
          <w:szCs w:val="21"/>
          <w:highlight w:val="none"/>
          <w:lang w:eastAsia="zh-CN"/>
        </w:rPr>
        <w:t>、</w:t>
      </w:r>
      <w:r>
        <w:rPr>
          <w:rFonts w:hint="eastAsia" w:ascii="宋体" w:hAnsi="宋体" w:cs="宋体"/>
          <w:szCs w:val="21"/>
          <w:highlight w:val="none"/>
        </w:rPr>
        <w:t>技术标评审，</w:t>
      </w:r>
      <w:r>
        <w:rPr>
          <w:rFonts w:hint="eastAsia" w:ascii="宋体" w:hAnsi="宋体" w:cs="宋体"/>
          <w:szCs w:val="21"/>
          <w:highlight w:val="none"/>
          <w:lang w:val="en-US" w:eastAsia="zh-CN"/>
        </w:rPr>
        <w:t>然</w:t>
      </w:r>
      <w:r>
        <w:rPr>
          <w:rFonts w:hint="eastAsia" w:ascii="宋体" w:hAnsi="宋体" w:cs="宋体"/>
          <w:szCs w:val="21"/>
          <w:highlight w:val="none"/>
        </w:rPr>
        <w:t>后进行商务标评审。</w:t>
      </w:r>
    </w:p>
    <w:p>
      <w:pPr>
        <w:pStyle w:val="6"/>
        <w:pageBreakBefore w:val="0"/>
        <w:widowControl w:val="0"/>
        <w:kinsoku/>
        <w:wordWrap/>
        <w:overflowPunct/>
        <w:topLinePunct w:val="0"/>
        <w:autoSpaceDE/>
        <w:autoSpaceDN/>
        <w:bidi w:val="0"/>
        <w:spacing w:line="400" w:lineRule="exact"/>
        <w:ind w:firstLine="422" w:firstLineChars="200"/>
        <w:textAlignment w:val="auto"/>
        <w:rPr>
          <w:rFonts w:ascii="宋体" w:hAnsi="宋体" w:eastAsia="宋体" w:cs="宋体"/>
          <w:highlight w:val="none"/>
        </w:rPr>
      </w:pPr>
      <w:bookmarkStart w:id="771" w:name="_Toc15058916"/>
      <w:bookmarkStart w:id="772" w:name="_Toc78803385"/>
      <w:bookmarkStart w:id="773" w:name="_Toc35425116"/>
      <w:bookmarkStart w:id="774" w:name="_Toc27389"/>
      <w:bookmarkStart w:id="775" w:name="_Toc35424950"/>
      <w:r>
        <w:rPr>
          <w:rFonts w:hint="eastAsia" w:ascii="宋体" w:hAnsi="宋体" w:eastAsia="宋体" w:cs="宋体"/>
          <w:highlight w:val="none"/>
        </w:rPr>
        <w:t>3.1评标准备工作</w:t>
      </w:r>
      <w:bookmarkEnd w:id="771"/>
      <w:bookmarkEnd w:id="772"/>
      <w:bookmarkEnd w:id="773"/>
      <w:bookmarkEnd w:id="774"/>
      <w:bookmarkEnd w:id="775"/>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评标委员会熟悉评标工作情况：</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（1）阅读由招标人或者其委托的工程代理机构编制的招标项目情况材料。</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（2）阅读、研究招标文件和相关评标资料，获取评标所需要的重要信息和数据，至少应了解和熟悉以下内容：招标项目的范围和性质，招标文件规定的主要技术要求、标准和商务条款。</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（3）熟悉招标文件规定的评标标准和评标方法及在评标过程中需要考虑的相关因素。</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（4）核对评标工作用表。</w:t>
      </w:r>
    </w:p>
    <w:p>
      <w:pPr>
        <w:pStyle w:val="6"/>
        <w:pageBreakBefore w:val="0"/>
        <w:widowControl w:val="0"/>
        <w:kinsoku/>
        <w:wordWrap/>
        <w:overflowPunct/>
        <w:topLinePunct w:val="0"/>
        <w:autoSpaceDE/>
        <w:autoSpaceDN/>
        <w:bidi w:val="0"/>
        <w:spacing w:line="400" w:lineRule="exact"/>
        <w:ind w:firstLine="422" w:firstLineChars="200"/>
        <w:textAlignment w:val="auto"/>
        <w:rPr>
          <w:rFonts w:ascii="宋体" w:hAnsi="宋体" w:eastAsia="宋体" w:cs="宋体"/>
          <w:highlight w:val="none"/>
        </w:rPr>
      </w:pPr>
      <w:bookmarkStart w:id="776" w:name="_Toc15058917"/>
      <w:bookmarkStart w:id="777" w:name="_Toc1299"/>
      <w:bookmarkStart w:id="778" w:name="_Toc35424951"/>
      <w:bookmarkStart w:id="779" w:name="_Toc35425117"/>
      <w:bookmarkStart w:id="780" w:name="_Toc78803386"/>
      <w:bookmarkStart w:id="781" w:name="_Toc24650"/>
      <w:bookmarkStart w:id="782" w:name="_Toc12200"/>
      <w:bookmarkStart w:id="783" w:name="_Toc15058919"/>
      <w:bookmarkStart w:id="784" w:name="_Toc35425120"/>
      <w:bookmarkStart w:id="785" w:name="_Toc324404875"/>
      <w:bookmarkStart w:id="786" w:name="_Toc35424954"/>
      <w:bookmarkStart w:id="787" w:name="_Toc506107327"/>
      <w:r>
        <w:rPr>
          <w:rFonts w:hint="eastAsia" w:ascii="宋体" w:hAnsi="宋体" w:eastAsia="宋体" w:cs="宋体"/>
          <w:highlight w:val="none"/>
        </w:rPr>
        <w:t>3.2技术标评审</w:t>
      </w:r>
      <w:bookmarkEnd w:id="776"/>
      <w:bookmarkEnd w:id="777"/>
      <w:bookmarkEnd w:id="778"/>
      <w:bookmarkEnd w:id="779"/>
      <w:bookmarkEnd w:id="780"/>
      <w:bookmarkEnd w:id="781"/>
    </w:p>
    <w:p>
      <w:pPr>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Cs w:val="21"/>
          <w:highlight w:val="none"/>
        </w:rPr>
      </w:pPr>
      <w:r>
        <w:rPr>
          <w:rFonts w:hint="eastAsia" w:ascii="宋体" w:hAnsi="宋体" w:cs="宋体"/>
          <w:szCs w:val="21"/>
          <w:highlight w:val="none"/>
        </w:rPr>
        <w:t>详见技术标评审表。</w:t>
      </w:r>
    </w:p>
    <w:p>
      <w:pPr>
        <w:pStyle w:val="6"/>
        <w:pageBreakBefore w:val="0"/>
        <w:widowControl w:val="0"/>
        <w:kinsoku/>
        <w:wordWrap/>
        <w:overflowPunct/>
        <w:topLinePunct w:val="0"/>
        <w:autoSpaceDE/>
        <w:autoSpaceDN/>
        <w:bidi w:val="0"/>
        <w:spacing w:line="400" w:lineRule="exact"/>
        <w:ind w:firstLine="422" w:firstLineChars="200"/>
        <w:textAlignment w:val="auto"/>
        <w:rPr>
          <w:rFonts w:ascii="宋体" w:hAnsi="宋体" w:eastAsia="宋体" w:cs="宋体"/>
          <w:highlight w:val="none"/>
        </w:rPr>
      </w:pPr>
      <w:bookmarkStart w:id="788" w:name="_Toc17468"/>
      <w:bookmarkStart w:id="789" w:name="_Toc35425118"/>
      <w:bookmarkStart w:id="790" w:name="_Toc11990"/>
      <w:bookmarkStart w:id="791" w:name="_Toc78803387"/>
      <w:bookmarkStart w:id="792" w:name="_Toc15058918"/>
      <w:bookmarkStart w:id="793" w:name="_Toc35424952"/>
      <w:r>
        <w:rPr>
          <w:rFonts w:hint="eastAsia" w:ascii="宋体" w:hAnsi="宋体" w:eastAsia="宋体" w:cs="宋体"/>
          <w:highlight w:val="none"/>
        </w:rPr>
        <w:t>3.3商务标评审</w:t>
      </w:r>
      <w:bookmarkEnd w:id="788"/>
      <w:bookmarkEnd w:id="789"/>
      <w:bookmarkEnd w:id="790"/>
      <w:bookmarkEnd w:id="791"/>
      <w:bookmarkEnd w:id="792"/>
      <w:bookmarkEnd w:id="793"/>
    </w:p>
    <w:p>
      <w:pPr>
        <w:pageBreakBefore w:val="0"/>
        <w:widowControl w:val="0"/>
        <w:kinsoku/>
        <w:wordWrap/>
        <w:overflowPunct/>
        <w:topLinePunct w:val="0"/>
        <w:autoSpaceDE/>
        <w:autoSpaceDN/>
        <w:bidi w:val="0"/>
        <w:spacing w:line="400" w:lineRule="exact"/>
        <w:ind w:firstLine="420" w:firstLineChars="200"/>
        <w:textAlignment w:val="auto"/>
        <w:rPr>
          <w:rFonts w:ascii="宋体" w:hAnsi="宋体" w:cs="宋体"/>
          <w:szCs w:val="21"/>
          <w:highlight w:val="none"/>
        </w:rPr>
      </w:pPr>
      <w:r>
        <w:rPr>
          <w:rFonts w:hint="eastAsia" w:ascii="宋体" w:hAnsi="宋体" w:cs="宋体"/>
          <w:szCs w:val="21"/>
          <w:highlight w:val="none"/>
        </w:rPr>
        <w:t>详见商务标评审表。</w:t>
      </w:r>
    </w:p>
    <w:p>
      <w:pPr>
        <w:pageBreakBefore w:val="0"/>
        <w:widowControl w:val="0"/>
        <w:kinsoku/>
        <w:wordWrap/>
        <w:overflowPunct/>
        <w:topLinePunct w:val="0"/>
        <w:autoSpaceDE/>
        <w:autoSpaceDN/>
        <w:bidi w:val="0"/>
        <w:spacing w:line="400" w:lineRule="exact"/>
        <w:ind w:firstLine="422" w:firstLineChars="200"/>
        <w:jc w:val="left"/>
        <w:textAlignment w:val="auto"/>
        <w:rPr>
          <w:rStyle w:val="198"/>
          <w:rFonts w:hint="eastAsia" w:ascii="宋体" w:hAnsi="宋体" w:eastAsia="宋体" w:cs="宋体"/>
          <w:highlight w:val="none"/>
        </w:rPr>
      </w:pPr>
      <w:bookmarkStart w:id="794" w:name="_Toc78803388"/>
      <w:bookmarkStart w:id="795" w:name="_Toc26895"/>
      <w:bookmarkStart w:id="796" w:name="_Toc18087"/>
      <w:bookmarkStart w:id="797" w:name="_Toc35425119"/>
      <w:bookmarkStart w:id="798" w:name="_Toc35424953"/>
      <w:r>
        <w:rPr>
          <w:rStyle w:val="198"/>
          <w:rFonts w:hint="eastAsia" w:ascii="宋体" w:hAnsi="宋体" w:eastAsia="宋体" w:cs="宋体"/>
          <w:highlight w:val="none"/>
        </w:rPr>
        <w:t>3.4推荐中标候选人</w:t>
      </w:r>
      <w:bookmarkEnd w:id="794"/>
      <w:bookmarkEnd w:id="795"/>
      <w:bookmarkEnd w:id="796"/>
      <w:bookmarkEnd w:id="797"/>
      <w:bookmarkEnd w:id="798"/>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szCs w:val="21"/>
        </w:rPr>
        <w:t>资信评审、技术标评审、商务标评审后，推荐</w:t>
      </w:r>
      <w:r>
        <w:rPr>
          <w:rFonts w:hint="eastAsia" w:ascii="宋体" w:hAnsi="宋体" w:cs="宋体"/>
          <w:szCs w:val="21"/>
          <w:u w:val="single"/>
        </w:rPr>
        <w:t>3</w:t>
      </w:r>
      <w:r>
        <w:rPr>
          <w:rFonts w:hint="eastAsia" w:ascii="宋体" w:hAnsi="宋体" w:cs="宋体"/>
          <w:szCs w:val="21"/>
        </w:rPr>
        <w:t>名中标候选人，并标明排序。</w:t>
      </w:r>
    </w:p>
    <w:p>
      <w:pPr>
        <w:pStyle w:val="6"/>
        <w:pageBreakBefore w:val="0"/>
        <w:widowControl w:val="0"/>
        <w:kinsoku/>
        <w:wordWrap/>
        <w:overflowPunct/>
        <w:topLinePunct w:val="0"/>
        <w:autoSpaceDE/>
        <w:autoSpaceDN/>
        <w:bidi w:val="0"/>
        <w:spacing w:beforeLines="50" w:afterLines="50" w:line="400" w:lineRule="exact"/>
        <w:ind w:firstLine="422" w:firstLineChars="200"/>
        <w:textAlignment w:val="auto"/>
        <w:rPr>
          <w:rFonts w:ascii="宋体" w:hAnsi="宋体" w:eastAsia="宋体" w:cs="宋体"/>
          <w:highlight w:val="none"/>
        </w:rPr>
      </w:pPr>
      <w:bookmarkStart w:id="799" w:name="_Toc78803389"/>
      <w:r>
        <w:rPr>
          <w:rFonts w:hint="eastAsia" w:ascii="宋体" w:hAnsi="宋体" w:eastAsia="宋体" w:cs="宋体"/>
          <w:highlight w:val="none"/>
        </w:rPr>
        <w:t>4.评审内容</w:t>
      </w:r>
      <w:bookmarkEnd w:id="782"/>
      <w:bookmarkEnd w:id="783"/>
      <w:bookmarkEnd w:id="784"/>
      <w:bookmarkEnd w:id="785"/>
      <w:bookmarkEnd w:id="786"/>
      <w:bookmarkEnd w:id="787"/>
      <w:bookmarkEnd w:id="799"/>
    </w:p>
    <w:p>
      <w:pPr>
        <w:pStyle w:val="6"/>
        <w:pageBreakBefore w:val="0"/>
        <w:widowControl w:val="0"/>
        <w:kinsoku/>
        <w:wordWrap/>
        <w:overflowPunct/>
        <w:topLinePunct w:val="0"/>
        <w:autoSpaceDE/>
        <w:autoSpaceDN/>
        <w:bidi w:val="0"/>
        <w:spacing w:line="400" w:lineRule="exact"/>
        <w:ind w:firstLine="422" w:firstLineChars="200"/>
        <w:textAlignment w:val="auto"/>
        <w:rPr>
          <w:rFonts w:ascii="宋体" w:hAnsi="宋体" w:eastAsia="宋体" w:cs="宋体"/>
          <w:highlight w:val="none"/>
        </w:rPr>
      </w:pPr>
      <w:bookmarkStart w:id="800" w:name="_Toc78803390"/>
      <w:bookmarkStart w:id="801" w:name="_Toc9630"/>
      <w:r>
        <w:rPr>
          <w:rFonts w:hint="eastAsia" w:ascii="宋体" w:hAnsi="宋体" w:eastAsia="宋体" w:cs="宋体"/>
          <w:highlight w:val="none"/>
        </w:rPr>
        <w:t>4.1</w:t>
      </w:r>
      <w:bookmarkEnd w:id="800"/>
      <w:bookmarkEnd w:id="801"/>
      <w:bookmarkStart w:id="802" w:name="_Toc35425122"/>
      <w:bookmarkStart w:id="803" w:name="_Toc35424956"/>
      <w:bookmarkStart w:id="804" w:name="_Toc15058921"/>
      <w:bookmarkStart w:id="805" w:name="_Toc78803391"/>
      <w:bookmarkStart w:id="806" w:name="_Toc3531"/>
      <w:bookmarkStart w:id="807" w:name="_Toc324404876"/>
      <w:r>
        <w:rPr>
          <w:rFonts w:hint="eastAsia" w:ascii="宋体" w:hAnsi="宋体" w:eastAsia="宋体" w:cs="宋体"/>
          <w:highlight w:val="none"/>
        </w:rPr>
        <w:t>商务标评审</w:t>
      </w:r>
      <w:bookmarkEnd w:id="802"/>
      <w:bookmarkEnd w:id="803"/>
      <w:bookmarkEnd w:id="804"/>
      <w:bookmarkEnd w:id="805"/>
      <w:bookmarkEnd w:id="806"/>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highlight w:val="none"/>
        </w:rPr>
      </w:pPr>
      <w:r>
        <w:rPr>
          <w:rFonts w:hint="eastAsia" w:ascii="宋体" w:hAnsi="宋体" w:cs="宋体"/>
          <w:highlight w:val="none"/>
        </w:rPr>
        <w:t>只有通过技术标评审的投标才能够进入本阶段评审。</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highlight w:val="none"/>
        </w:rPr>
      </w:pPr>
      <w:r>
        <w:rPr>
          <w:rFonts w:hint="eastAsia" w:ascii="宋体" w:hAnsi="宋体" w:cs="宋体"/>
          <w:highlight w:val="none"/>
        </w:rPr>
        <w:t>4.1.1形式性评审标准：见商务标评审表。</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highlight w:val="none"/>
        </w:rPr>
      </w:pPr>
      <w:r>
        <w:rPr>
          <w:rFonts w:hint="eastAsia" w:ascii="宋体" w:hAnsi="宋体" w:cs="宋体"/>
          <w:highlight w:val="none"/>
        </w:rPr>
        <w:t>4.1.2响应性评审标准：见商务标评审表。</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highlight w:val="none"/>
        </w:rPr>
      </w:pPr>
      <w:r>
        <w:rPr>
          <w:rFonts w:hint="eastAsia" w:ascii="宋体" w:hAnsi="宋体" w:cs="宋体"/>
          <w:highlight w:val="none"/>
        </w:rPr>
        <w:t>评标委员会依据上述标准对投标文件进行初步评审。有一项不符合评审标准的，作无效投标处理。</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highlight w:val="none"/>
        </w:rPr>
      </w:pPr>
      <w:bookmarkStart w:id="808" w:name="_Toc35424957"/>
      <w:bookmarkStart w:id="809" w:name="_Toc506107328"/>
      <w:bookmarkStart w:id="810" w:name="_Toc78803392"/>
      <w:bookmarkStart w:id="811" w:name="_Toc35425123"/>
      <w:bookmarkStart w:id="812" w:name="_Toc13125"/>
      <w:bookmarkStart w:id="813" w:name="_Toc15058922"/>
      <w:r>
        <w:rPr>
          <w:rFonts w:hint="eastAsia" w:ascii="宋体" w:hAnsi="宋体" w:eastAsia="宋体" w:cs="宋体"/>
          <w:highlight w:val="none"/>
        </w:rPr>
        <w:t>4.</w:t>
      </w:r>
      <w:r>
        <w:rPr>
          <w:rFonts w:hint="eastAsia" w:ascii="宋体" w:hAnsi="宋体" w:eastAsia="宋体" w:cs="宋体"/>
          <w:highlight w:val="none"/>
          <w:lang w:val="en-US" w:eastAsia="zh-CN"/>
        </w:rPr>
        <w:t>1</w:t>
      </w:r>
      <w:r>
        <w:rPr>
          <w:rFonts w:hint="eastAsia" w:ascii="宋体" w:hAnsi="宋体" w:eastAsia="宋体" w:cs="宋体"/>
          <w:highlight w:val="none"/>
        </w:rPr>
        <w:t>.</w:t>
      </w:r>
      <w:r>
        <w:rPr>
          <w:rFonts w:hint="eastAsia" w:ascii="宋体" w:hAnsi="宋体" w:cs="宋体"/>
          <w:highlight w:val="none"/>
          <w:lang w:val="en-US" w:eastAsia="zh-CN"/>
        </w:rPr>
        <w:t>3</w:t>
      </w:r>
      <w:r>
        <w:rPr>
          <w:rFonts w:hint="eastAsia" w:ascii="宋体" w:hAnsi="宋体" w:eastAsia="宋体" w:cs="宋体"/>
          <w:highlight w:val="none"/>
        </w:rPr>
        <w:t>评标委员会审查投标文件，包括工程投标报价的校核、审查全部数据计算的正确性、分析各种费用构成的合理性和正确性等内容，看其是否有计算或表达上的错误，投标报价有错误的，评标委员会按以下原则对投标报价进行修正。</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（1）投标文件中的大写金额与小写金额不一致的，以大写金额为准。</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（2）总价金额与依据单价计算出的结果不一致的，以单价金额为准修正总价，但单价金额小数点有明显错误的除外。</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（3）工程量清单报价表中综合单价与工程量清单项目价格分析表相对应综合单价不一致时，以工程量清单项目价格分析表中标出的综合单价为准。</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highlight w:val="none"/>
        </w:rPr>
      </w:pPr>
      <w:r>
        <w:rPr>
          <w:rFonts w:hint="eastAsia" w:ascii="宋体" w:hAnsi="宋体" w:eastAsia="宋体" w:cs="宋体"/>
          <w:highlight w:val="none"/>
        </w:rPr>
        <w:t>按上述修正错误的原则及方法调整或修正投标文件的投标报价，调整或修正的价格经投标人书面确认后具有约束力。中标价原则上以调整或修正后的价格为准，调整或修正后的价格与投标报价相比，价格低的为中标价。投标人不接受的，其投标将被拒绝。</w:t>
      </w:r>
    </w:p>
    <w:p>
      <w:pPr>
        <w:pStyle w:val="6"/>
        <w:pageBreakBefore w:val="0"/>
        <w:widowControl w:val="0"/>
        <w:kinsoku/>
        <w:wordWrap/>
        <w:overflowPunct/>
        <w:topLinePunct w:val="0"/>
        <w:autoSpaceDE/>
        <w:autoSpaceDN/>
        <w:bidi w:val="0"/>
        <w:spacing w:beforeLines="50" w:afterLines="50" w:line="400" w:lineRule="exact"/>
        <w:ind w:firstLine="422" w:firstLineChars="200"/>
        <w:textAlignment w:val="auto"/>
        <w:rPr>
          <w:rFonts w:ascii="宋体" w:hAnsi="宋体" w:eastAsia="宋体" w:cs="宋体"/>
          <w:highlight w:val="none"/>
        </w:rPr>
      </w:pPr>
      <w:r>
        <w:rPr>
          <w:rFonts w:hint="eastAsia" w:ascii="宋体" w:hAnsi="宋体" w:eastAsia="宋体" w:cs="宋体"/>
          <w:highlight w:val="none"/>
        </w:rPr>
        <w:t>5.无效投标条款</w:t>
      </w:r>
      <w:bookmarkEnd w:id="807"/>
      <w:bookmarkEnd w:id="808"/>
      <w:bookmarkEnd w:id="809"/>
      <w:bookmarkEnd w:id="810"/>
      <w:bookmarkEnd w:id="811"/>
      <w:bookmarkEnd w:id="812"/>
      <w:bookmarkEnd w:id="813"/>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5.1投标人存在下列情形的的招标人将拒收投标文件：</w:t>
      </w:r>
    </w:p>
    <w:p>
      <w:pPr>
        <w:pageBreakBefore w:val="0"/>
        <w:widowControl w:val="0"/>
        <w:numPr>
          <w:ilvl w:val="0"/>
          <w:numId w:val="4"/>
        </w:numPr>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未在投标截止时间前通过</w:t>
      </w:r>
      <w:r>
        <w:rPr>
          <w:rFonts w:hint="eastAsia" w:ascii="宋体" w:hAnsi="宋体" w:eastAsia="宋体" w:cs="宋体"/>
          <w:szCs w:val="21"/>
          <w:highlight w:val="none"/>
          <w:lang w:val="en-US" w:eastAsia="zh-CN"/>
        </w:rPr>
        <w:t>邮箱</w:t>
      </w:r>
      <w:r>
        <w:rPr>
          <w:rFonts w:hint="eastAsia" w:ascii="宋体" w:hAnsi="宋体" w:eastAsia="宋体" w:cs="宋体"/>
          <w:szCs w:val="21"/>
          <w:highlight w:val="none"/>
        </w:rPr>
        <w:t>递交有效电子投标文件的，投标将被拒绝。</w:t>
      </w:r>
    </w:p>
    <w:p>
      <w:pPr>
        <w:pageBreakBefore w:val="0"/>
        <w:widowControl w:val="0"/>
        <w:numPr>
          <w:ilvl w:val="0"/>
          <w:numId w:val="4"/>
        </w:numPr>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rPr>
        <w:t>所有投标人应在规定时间里</w:t>
      </w:r>
      <w:r>
        <w:rPr>
          <w:rFonts w:hint="eastAsia" w:ascii="宋体" w:hAnsi="宋体" w:eastAsia="宋体" w:cs="宋体"/>
          <w:szCs w:val="21"/>
          <w:highlight w:val="none"/>
          <w:lang w:val="en-US" w:eastAsia="zh-CN"/>
        </w:rPr>
        <w:t>发送</w:t>
      </w:r>
      <w:r>
        <w:rPr>
          <w:rFonts w:hint="eastAsia" w:ascii="宋体" w:hAnsi="宋体" w:eastAsia="宋体" w:cs="宋体"/>
          <w:szCs w:val="21"/>
          <w:highlight w:val="none"/>
        </w:rPr>
        <w:t>投标文件的密码。因投标人自身原因导致投标文件在规定时间内未能</w:t>
      </w:r>
      <w:r>
        <w:rPr>
          <w:rFonts w:hint="eastAsia" w:ascii="宋体" w:hAnsi="宋体" w:eastAsia="宋体" w:cs="宋体"/>
          <w:szCs w:val="21"/>
          <w:highlight w:val="none"/>
          <w:lang w:val="en-US" w:eastAsia="zh-CN"/>
        </w:rPr>
        <w:t>发送</w:t>
      </w:r>
      <w:r>
        <w:rPr>
          <w:rFonts w:hint="eastAsia" w:ascii="宋体" w:hAnsi="宋体" w:eastAsia="宋体" w:cs="宋体"/>
          <w:szCs w:val="21"/>
          <w:highlight w:val="none"/>
        </w:rPr>
        <w:t>投标文件的密码，投标文件无效</w:t>
      </w:r>
      <w:r>
        <w:rPr>
          <w:rFonts w:hint="eastAsia" w:ascii="宋体" w:hAnsi="宋体" w:eastAsia="宋体" w:cs="宋体"/>
          <w:szCs w:val="21"/>
          <w:highlight w:val="none"/>
          <w:lang w:eastAsia="zh-CN"/>
        </w:rPr>
        <w:t>。</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val="en-US" w:eastAsia="zh-CN"/>
        </w:rPr>
        <w:t>2</w:t>
      </w:r>
      <w:r>
        <w:rPr>
          <w:rFonts w:hint="eastAsia" w:ascii="宋体" w:hAnsi="宋体" w:cs="宋体"/>
          <w:szCs w:val="21"/>
          <w:highlight w:val="none"/>
        </w:rPr>
        <w:t>投标人有下列情形的，</w:t>
      </w:r>
      <w:r>
        <w:rPr>
          <w:rFonts w:hint="eastAsia" w:ascii="宋体" w:hAnsi="宋体" w:cs="宋体"/>
          <w:color w:val="000000"/>
          <w:szCs w:val="21"/>
        </w:rPr>
        <w:t>经评审后其投标作无效投标处理</w:t>
      </w:r>
      <w:r>
        <w:rPr>
          <w:rFonts w:hint="eastAsia" w:ascii="宋体" w:hAnsi="宋体" w:cs="宋体"/>
          <w:szCs w:val="21"/>
          <w:highlight w:val="none"/>
        </w:rPr>
        <w:t>：</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val="en-US" w:eastAsia="zh-CN"/>
        </w:rPr>
        <w:t>2</w:t>
      </w:r>
      <w:r>
        <w:rPr>
          <w:rFonts w:hint="eastAsia" w:ascii="宋体" w:hAnsi="宋体" w:cs="宋体"/>
          <w:szCs w:val="21"/>
          <w:highlight w:val="none"/>
        </w:rPr>
        <w:t>.1商标评审</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评标委员会依据《商务标评审表》进行形式性评审和响应性评审。有一项不符合评审标准的，做无效投标处理；</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（2）商务标详细评审标准中有任何一项不能通过评审的，作无效投标处理。</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val="en-US" w:eastAsia="zh-CN"/>
        </w:rPr>
        <w:t>3</w:t>
      </w:r>
      <w:r>
        <w:rPr>
          <w:rFonts w:hint="eastAsia" w:ascii="宋体" w:hAnsi="宋体" w:cs="宋体"/>
          <w:szCs w:val="21"/>
          <w:highlight w:val="none"/>
        </w:rPr>
        <w:t>其他无效投标情况：</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评标委员会发现投标人的投标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其投标作无效投标处理。</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（2）按第三章《评标方法》4.</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.4条款修正错误的原则及方法调整或修正投标文件的投标报价，调整或修正的价格经投标人书面确认后具有约束力。投标人不接修正价格的，其投标将被拒绝。</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）投标人有串通投标、视为串通投标、弄虚作假、行贿等违法行为。</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）投标文件没有对招标文件的实质性要求和条件作出响应。</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）未按规定的格式填写导致实质性内容不全以及实质上不响应，或者关键字迹模糊、无法辨认的。</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）同一投标人提交两个以上不同的投标文件或者投标报价，但招标文件规定提交备选投标的除外。</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）投标文件中存在招标人不能接受的其他实质性条件。</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）投标文件中填报的拟任项目经理（建造师）与资格审查通过的项目经理（建造师）前后不一致的。</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9</w:t>
      </w:r>
      <w:r>
        <w:rPr>
          <w:rFonts w:hint="eastAsia" w:ascii="宋体" w:hAnsi="宋体" w:eastAsia="宋体" w:cs="宋体"/>
          <w:szCs w:val="21"/>
          <w:highlight w:val="none"/>
        </w:rPr>
        <w:t>）投标人拒不按照要求对投标文件进行澄清、说明、补正的，或评标委员会根据招标文件的规定对招标文件的计算错误进行修正后，投标人不接受修正的投标报价的。</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0</w:t>
      </w:r>
      <w:r>
        <w:rPr>
          <w:rFonts w:hint="eastAsia" w:ascii="宋体" w:hAnsi="宋体" w:eastAsia="宋体" w:cs="宋体"/>
          <w:szCs w:val="21"/>
          <w:highlight w:val="none"/>
        </w:rPr>
        <w:t>）投标人单方面出现其他投标人材料。</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）投标人联系人或联系电话相同的。</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12）</w:t>
      </w:r>
      <w:r>
        <w:rPr>
          <w:rFonts w:hint="eastAsia" w:ascii="宋体" w:hAnsi="宋体" w:eastAsia="宋体" w:cs="宋体"/>
          <w:szCs w:val="21"/>
          <w:highlight w:val="none"/>
        </w:rPr>
        <w:t>法律、法规规定的其他情形。</w:t>
      </w:r>
    </w:p>
    <w:p>
      <w:pPr>
        <w:pStyle w:val="6"/>
        <w:pageBreakBefore w:val="0"/>
        <w:widowControl w:val="0"/>
        <w:kinsoku/>
        <w:wordWrap/>
        <w:overflowPunct/>
        <w:topLinePunct w:val="0"/>
        <w:autoSpaceDE/>
        <w:autoSpaceDN/>
        <w:bidi w:val="0"/>
        <w:spacing w:beforeLines="50" w:afterLines="50" w:line="400" w:lineRule="exact"/>
        <w:ind w:firstLine="422" w:firstLineChars="200"/>
        <w:textAlignment w:val="auto"/>
        <w:rPr>
          <w:rFonts w:ascii="宋体" w:hAnsi="宋体" w:eastAsia="宋体" w:cs="宋体"/>
          <w:highlight w:val="none"/>
        </w:rPr>
      </w:pPr>
      <w:bookmarkStart w:id="814" w:name="_Toc15058923"/>
      <w:bookmarkStart w:id="815" w:name="_Toc35424958"/>
      <w:bookmarkStart w:id="816" w:name="_Toc35425124"/>
      <w:bookmarkStart w:id="817" w:name="_Toc78803393"/>
      <w:bookmarkStart w:id="818" w:name="_Toc506107329"/>
      <w:bookmarkStart w:id="819" w:name="_Toc324404877"/>
      <w:bookmarkStart w:id="820" w:name="_Toc27846"/>
      <w:r>
        <w:rPr>
          <w:rFonts w:hint="eastAsia" w:ascii="宋体" w:hAnsi="宋体" w:eastAsia="宋体" w:cs="宋体"/>
          <w:highlight w:val="none"/>
        </w:rPr>
        <w:t>6.投标文件的澄清和补正</w:t>
      </w:r>
      <w:bookmarkEnd w:id="814"/>
      <w:bookmarkEnd w:id="815"/>
      <w:bookmarkEnd w:id="816"/>
      <w:bookmarkEnd w:id="817"/>
      <w:bookmarkEnd w:id="818"/>
      <w:bookmarkEnd w:id="819"/>
      <w:bookmarkEnd w:id="820"/>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6.1在评标过程中，评标委员会可以要求投标人对所提交的投标文件中不明确的内容进行书面澄清或说明，或者对细微偏差进行补正。评标委员会不接受投标人主动提出的澄清、说明或补正。</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6.2澄清、说明和补正不得改变投标文件的实质性内容（算术性错误修正的除外）。投标人的书面澄清、说明和补正属于投标文件的组成部分。</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6.3评标委员会对投标人提交的澄清、说明和补正有疑问的，可以要求投标人进一步澄清、说明或补正、直至满足评标委员会的要求。</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按照投标文件规定进行澄清、补正后的投标报价经投标人的法定代表人或其委托代理人确认后即为该投标人的最终投标报价。投标人一旦中标，此报价即为中标价。</w:t>
      </w:r>
    </w:p>
    <w:p>
      <w:pPr>
        <w:pStyle w:val="6"/>
        <w:pageBreakBefore w:val="0"/>
        <w:widowControl w:val="0"/>
        <w:kinsoku/>
        <w:wordWrap/>
        <w:overflowPunct/>
        <w:topLinePunct w:val="0"/>
        <w:autoSpaceDE/>
        <w:autoSpaceDN/>
        <w:bidi w:val="0"/>
        <w:spacing w:beforeLines="50" w:afterLines="50" w:line="400" w:lineRule="exact"/>
        <w:ind w:firstLine="422" w:firstLineChars="200"/>
        <w:textAlignment w:val="auto"/>
        <w:rPr>
          <w:rFonts w:hint="eastAsia" w:ascii="宋体" w:hAnsi="宋体" w:eastAsia="宋体" w:cs="宋体"/>
          <w:highlight w:val="none"/>
        </w:rPr>
      </w:pPr>
      <w:bookmarkStart w:id="821" w:name="_Toc506107331"/>
      <w:bookmarkStart w:id="822" w:name="_Toc78803395"/>
      <w:bookmarkStart w:id="823" w:name="_Toc22863"/>
      <w:bookmarkStart w:id="824" w:name="_Toc15058925"/>
      <w:bookmarkStart w:id="825" w:name="_Toc324404879"/>
      <w:bookmarkStart w:id="826" w:name="_Toc35425126"/>
      <w:bookmarkStart w:id="827" w:name="_Toc35424960"/>
      <w:r>
        <w:rPr>
          <w:rFonts w:hint="eastAsia" w:ascii="宋体" w:hAnsi="宋体" w:eastAsia="宋体" w:cs="宋体"/>
          <w:highlight w:val="none"/>
          <w:lang w:val="en-US" w:eastAsia="zh-CN"/>
        </w:rPr>
        <w:t>7</w:t>
      </w:r>
      <w:r>
        <w:rPr>
          <w:rFonts w:hint="eastAsia" w:ascii="宋体" w:hAnsi="宋体" w:eastAsia="宋体" w:cs="宋体"/>
          <w:highlight w:val="none"/>
        </w:rPr>
        <w:t>.评审结果</w:t>
      </w:r>
      <w:bookmarkEnd w:id="821"/>
      <w:bookmarkEnd w:id="822"/>
      <w:bookmarkEnd w:id="823"/>
      <w:bookmarkEnd w:id="824"/>
      <w:bookmarkEnd w:id="825"/>
      <w:bookmarkEnd w:id="826"/>
      <w:bookmarkEnd w:id="827"/>
    </w:p>
    <w:p>
      <w:pPr>
        <w:adjustRightInd w:val="0"/>
        <w:snapToGrid w:val="0"/>
        <w:spacing w:line="560" w:lineRule="exact"/>
        <w:ind w:firstLine="420" w:firstLineChars="200"/>
        <w:rPr>
          <w:rFonts w:hint="eastAsia" w:ascii="宋体" w:hAnsi="宋体" w:cs="宋体"/>
          <w:color w:val="000000"/>
          <w:szCs w:val="21"/>
        </w:rPr>
      </w:pPr>
      <w:r>
        <w:rPr>
          <w:rFonts w:hint="eastAsia" w:ascii="宋体" w:hAnsi="宋体" w:cs="宋体"/>
          <w:szCs w:val="21"/>
          <w:highlight w:val="none"/>
          <w:lang w:val="en-US" w:eastAsia="zh-CN"/>
        </w:rPr>
        <w:t>7</w:t>
      </w:r>
      <w:r>
        <w:rPr>
          <w:rFonts w:hint="eastAsia" w:ascii="宋体" w:hAnsi="宋体" w:cs="宋体"/>
          <w:szCs w:val="21"/>
          <w:highlight w:val="none"/>
        </w:rPr>
        <w:t>.1除投标人须知前附表授权直接确定中标人外，</w:t>
      </w:r>
      <w:r>
        <w:rPr>
          <w:rFonts w:hint="eastAsia" w:ascii="宋体" w:hAnsi="宋体" w:cs="宋体"/>
          <w:color w:val="000000"/>
          <w:szCs w:val="21"/>
        </w:rPr>
        <w:t>评</w:t>
      </w:r>
      <w:bookmarkStart w:id="828" w:name="_Toc60061508"/>
      <w:r>
        <w:rPr>
          <w:rFonts w:hint="eastAsia" w:ascii="宋体" w:hAnsi="宋体" w:cs="宋体"/>
          <w:color w:val="000000"/>
          <w:szCs w:val="21"/>
        </w:rPr>
        <w:t>标委员会</w:t>
      </w:r>
      <w:bookmarkEnd w:id="828"/>
      <w:r>
        <w:rPr>
          <w:rFonts w:hint="eastAsia" w:ascii="宋体" w:hAnsi="宋体" w:cs="宋体"/>
          <w:color w:val="000000"/>
          <w:szCs w:val="21"/>
        </w:rPr>
        <w:t>按有效报价由低到高的顺序推荐中标候选人。</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lang w:val="en-US" w:eastAsia="zh-CN"/>
        </w:rPr>
        <w:t>7</w:t>
      </w:r>
      <w:r>
        <w:rPr>
          <w:rFonts w:hint="eastAsia" w:ascii="宋体" w:hAnsi="宋体" w:cs="宋体"/>
          <w:szCs w:val="21"/>
          <w:highlight w:val="none"/>
        </w:rPr>
        <w:t>.2评标委员会完成评标后，应当向招标人提交书面评标报告。评标报告应当如实记载以下内容：</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（1）基本情况和数据表。</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（2）评标委员会成员名单。</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（3）开标记录。</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（4）符合要求的投标人一览表。</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（5）否决投标情况说明。</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（6）评标标准、评标方法或者评标因素。</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（7）评标情况一览表。</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（8）经评审的投标人排序。</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（9）推荐的中标候选人名单与签订合同前要处理的事宜。</w:t>
      </w:r>
    </w:p>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（10）澄清、说明、补正事项纪要。</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szCs w:val="21"/>
          <w:highlight w:val="none"/>
          <w:lang w:val="en-US" w:eastAsia="zh-CN"/>
        </w:rPr>
        <w:t>7</w:t>
      </w:r>
      <w:r>
        <w:rPr>
          <w:rFonts w:hint="eastAsia" w:ascii="宋体" w:hAnsi="宋体" w:eastAsia="宋体" w:cs="宋体"/>
          <w:szCs w:val="21"/>
          <w:highlight w:val="none"/>
        </w:rPr>
        <w:t>.3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ageBreakBefore w:val="0"/>
        <w:widowControl w:val="0"/>
        <w:kinsoku/>
        <w:wordWrap/>
        <w:overflowPunct/>
        <w:topLinePunct w:val="0"/>
        <w:autoSpaceDE/>
        <w:autoSpaceDN/>
        <w:bidi w:val="0"/>
        <w:spacing w:line="400" w:lineRule="exact"/>
        <w:ind w:firstLine="420" w:firstLineChars="200"/>
        <w:jc w:val="left"/>
        <w:textAlignment w:val="auto"/>
        <w:rPr>
          <w:rFonts w:ascii="宋体" w:hAnsi="宋体" w:cs="宋体"/>
          <w:szCs w:val="21"/>
          <w:highlight w:val="none"/>
        </w:rPr>
      </w:pPr>
      <w:r>
        <w:rPr>
          <w:rFonts w:hint="eastAsia" w:ascii="宋体" w:hAnsi="宋体" w:cs="宋体"/>
          <w:szCs w:val="21"/>
          <w:highlight w:val="none"/>
        </w:rPr>
        <w:t>依法必须进行招标的项目，除第一中标候选人或者中标人以外的其他投标人存在串通投标、弄虚作假、行贿情形且在评标过程中未被发现的，视为对中标结果没有造成实质性影响，招标人可以依法继续开展招标活动。</w:t>
      </w:r>
    </w:p>
    <w:p>
      <w:pPr>
        <w:pStyle w:val="6"/>
        <w:pageBreakBefore w:val="0"/>
        <w:widowControl w:val="0"/>
        <w:kinsoku/>
        <w:wordWrap/>
        <w:overflowPunct/>
        <w:topLinePunct w:val="0"/>
        <w:autoSpaceDE/>
        <w:autoSpaceDN/>
        <w:bidi w:val="0"/>
        <w:spacing w:beforeLines="50" w:afterLines="50" w:line="400" w:lineRule="exact"/>
        <w:ind w:firstLine="422" w:firstLineChars="200"/>
        <w:textAlignment w:val="auto"/>
        <w:rPr>
          <w:rFonts w:ascii="宋体" w:hAnsi="宋体" w:eastAsia="宋体" w:cs="宋体"/>
          <w:highlight w:val="none"/>
        </w:rPr>
      </w:pPr>
      <w:bookmarkStart w:id="829" w:name="_Toc78803396"/>
      <w:bookmarkStart w:id="830" w:name="_Toc506107332"/>
      <w:bookmarkStart w:id="831" w:name="_Toc324404880"/>
      <w:bookmarkStart w:id="832" w:name="_Toc35424961"/>
      <w:bookmarkStart w:id="833" w:name="_Toc15058926"/>
      <w:bookmarkStart w:id="834" w:name="_Toc35425127"/>
      <w:bookmarkStart w:id="835" w:name="_Toc1576"/>
      <w:r>
        <w:rPr>
          <w:rFonts w:hint="eastAsia" w:ascii="宋体" w:hAnsi="宋体" w:eastAsia="宋体" w:cs="宋体"/>
          <w:highlight w:val="none"/>
          <w:lang w:val="en-US" w:eastAsia="zh-CN"/>
        </w:rPr>
        <w:t>8</w:t>
      </w:r>
      <w:r>
        <w:rPr>
          <w:rFonts w:hint="eastAsia" w:ascii="宋体" w:hAnsi="宋体" w:eastAsia="宋体" w:cs="宋体"/>
          <w:highlight w:val="none"/>
        </w:rPr>
        <w:t>.其他</w:t>
      </w:r>
      <w:bookmarkEnd w:id="829"/>
      <w:bookmarkEnd w:id="830"/>
      <w:bookmarkEnd w:id="831"/>
      <w:bookmarkEnd w:id="832"/>
      <w:bookmarkEnd w:id="833"/>
      <w:bookmarkEnd w:id="834"/>
      <w:bookmarkEnd w:id="835"/>
    </w:p>
    <w:bookmarkEnd w:id="756"/>
    <w:bookmarkEnd w:id="757"/>
    <w:bookmarkEnd w:id="758"/>
    <w:bookmarkEnd w:id="759"/>
    <w:bookmarkEnd w:id="760"/>
    <w:bookmarkEnd w:id="761"/>
    <w:bookmarkEnd w:id="762"/>
    <w:bookmarkEnd w:id="763"/>
    <w:p>
      <w:pPr>
        <w:pageBreakBefore w:val="0"/>
        <w:widowControl w:val="0"/>
        <w:kinsoku/>
        <w:wordWrap/>
        <w:overflowPunct/>
        <w:topLinePunct w:val="0"/>
        <w:autoSpaceDE/>
        <w:autoSpaceDN/>
        <w:bidi w:val="0"/>
        <w:spacing w:line="400" w:lineRule="exact"/>
        <w:ind w:firstLine="420" w:firstLineChars="200"/>
        <w:jc w:val="left"/>
        <w:textAlignment w:val="auto"/>
        <w:rPr>
          <w:rFonts w:hint="eastAsia" w:ascii="宋体" w:hAnsi="宋体" w:eastAsia="宋体" w:cs="宋体"/>
          <w:szCs w:val="21"/>
          <w:highlight w:val="none"/>
        </w:rPr>
      </w:pPr>
      <w:bookmarkStart w:id="836" w:name="_Toc15058927"/>
      <w:bookmarkStart w:id="837" w:name="_Toc35424962"/>
      <w:bookmarkStart w:id="838" w:name="_Toc506107333"/>
      <w:bookmarkStart w:id="839" w:name="_Toc35425128"/>
      <w:bookmarkStart w:id="840" w:name="_Toc179632785"/>
      <w:bookmarkStart w:id="841" w:name="_Toc144974826"/>
      <w:bookmarkStart w:id="842" w:name="_Toc152045767"/>
      <w:bookmarkStart w:id="843" w:name="_Toc152042546"/>
      <w:r>
        <w:rPr>
          <w:rFonts w:hint="eastAsia" w:ascii="宋体" w:hAnsi="宋体" w:eastAsia="宋体" w:cs="宋体"/>
          <w:szCs w:val="21"/>
          <w:highlight w:val="none"/>
        </w:rPr>
        <w:t>投标人提供的与投标文件有关的各类证书、证明、文件、资料等的真实性、合法性由投标人负全责。</w:t>
      </w:r>
    </w:p>
    <w:p>
      <w:pPr>
        <w:rPr>
          <w:highlight w:val="none"/>
        </w:rPr>
      </w:pPr>
    </w:p>
    <w:p>
      <w:pPr>
        <w:rPr>
          <w:rFonts w:hint="eastAsia"/>
        </w:rPr>
      </w:pPr>
      <w:r>
        <w:rPr>
          <w:rFonts w:hint="eastAsia"/>
          <w:highlight w:val="none"/>
        </w:rPr>
        <w:br w:type="page"/>
      </w:r>
      <w:bookmarkStart w:id="844" w:name="_Toc78803397"/>
    </w:p>
    <w:bookmarkEnd w:id="836"/>
    <w:bookmarkEnd w:id="837"/>
    <w:bookmarkEnd w:id="838"/>
    <w:bookmarkEnd w:id="839"/>
    <w:bookmarkEnd w:id="844"/>
    <w:p>
      <w:pPr>
        <w:pStyle w:val="5"/>
        <w:rPr>
          <w:rFonts w:hint="eastAsia" w:ascii="Arial" w:hAnsi="Arial"/>
          <w:kern w:val="0"/>
          <w:sz w:val="32"/>
          <w:szCs w:val="32"/>
        </w:rPr>
      </w:pPr>
      <w:bookmarkStart w:id="845" w:name="_Toc16721"/>
    </w:p>
    <w:bookmarkEnd w:id="840"/>
    <w:bookmarkEnd w:id="841"/>
    <w:bookmarkEnd w:id="842"/>
    <w:bookmarkEnd w:id="843"/>
    <w:bookmarkEnd w:id="845"/>
    <w:p>
      <w:pPr>
        <w:pStyle w:val="5"/>
        <w:adjustRightInd w:val="0"/>
        <w:snapToGrid w:val="0"/>
        <w:spacing w:before="0" w:after="0"/>
        <w:jc w:val="center"/>
        <w:rPr>
          <w:rFonts w:hint="eastAsia"/>
          <w:color w:val="auto"/>
          <w:highlight w:val="none"/>
        </w:rPr>
      </w:pPr>
      <w:bookmarkStart w:id="846" w:name="_Toc13538"/>
      <w:bookmarkStart w:id="847" w:name="_Toc35425136"/>
      <w:bookmarkStart w:id="848" w:name="_Toc144974855"/>
      <w:bookmarkStart w:id="849" w:name="_Toc506107340"/>
      <w:bookmarkStart w:id="850" w:name="_Toc78803398"/>
      <w:bookmarkStart w:id="851" w:name="_Toc324404888"/>
      <w:bookmarkStart w:id="852" w:name="_Toc246996354"/>
      <w:bookmarkStart w:id="853" w:name="_Toc152042575"/>
      <w:bookmarkStart w:id="854" w:name="_Toc152045786"/>
      <w:bookmarkStart w:id="855" w:name="_Toc247085872"/>
      <w:bookmarkStart w:id="856" w:name="_Toc246997097"/>
      <w:bookmarkStart w:id="857" w:name="_Toc179632806"/>
      <w:bookmarkStart w:id="858" w:name="_Toc15058934"/>
      <w:bookmarkStart w:id="859" w:name="_Toc35424970"/>
      <w:r>
        <w:rPr>
          <w:rFonts w:hint="eastAsia"/>
          <w:color w:val="auto"/>
          <w:highlight w:val="none"/>
        </w:rPr>
        <w:t>第四章 合同条款及格式</w:t>
      </w:r>
      <w:bookmarkEnd w:id="846"/>
    </w:p>
    <w:p>
      <w:pPr>
        <w:spacing w:line="360" w:lineRule="auto"/>
        <w:jc w:val="left"/>
        <w:rPr>
          <w:rFonts w:ascii="宋体" w:cs="宋体"/>
          <w:bCs/>
          <w:color w:val="auto"/>
          <w:sz w:val="30"/>
          <w:szCs w:val="30"/>
          <w:highlight w:val="none"/>
        </w:rPr>
      </w:pPr>
      <w:bookmarkStart w:id="860" w:name="_Toc2094516902"/>
      <w:bookmarkStart w:id="861" w:name="_Toc184263479"/>
      <w:r>
        <w:rPr>
          <w:rFonts w:hint="eastAsia" w:ascii="宋体" w:hAnsi="宋体" w:cs="宋体"/>
          <w:bCs/>
          <w:color w:val="auto"/>
          <w:sz w:val="30"/>
          <w:szCs w:val="30"/>
          <w:highlight w:val="none"/>
        </w:rPr>
        <w:t>（</w:t>
      </w:r>
      <w:r>
        <w:rPr>
          <w:rFonts w:ascii="宋体" w:hAnsi="宋体" w:cs="宋体"/>
          <w:bCs/>
          <w:color w:val="auto"/>
          <w:sz w:val="30"/>
          <w:szCs w:val="30"/>
          <w:highlight w:val="none"/>
        </w:rPr>
        <w:t>GF—2020—2605</w:t>
      </w:r>
      <w:r>
        <w:rPr>
          <w:rFonts w:hint="eastAsia" w:ascii="宋体" w:hAnsi="宋体" w:cs="宋体"/>
          <w:bCs/>
          <w:color w:val="auto"/>
          <w:sz w:val="30"/>
          <w:szCs w:val="30"/>
          <w:highlight w:val="none"/>
        </w:rPr>
        <w:t>）</w:t>
      </w:r>
    </w:p>
    <w:p>
      <w:pPr>
        <w:spacing w:line="360" w:lineRule="auto"/>
        <w:ind w:firstLine="482"/>
        <w:jc w:val="center"/>
        <w:rPr>
          <w:rFonts w:ascii="仿宋_GB2312" w:eastAsia="仿宋_GB2312"/>
          <w:b/>
          <w:color w:val="auto"/>
          <w:sz w:val="24"/>
          <w:szCs w:val="24"/>
          <w:highlight w:val="none"/>
        </w:rPr>
      </w:pPr>
    </w:p>
    <w:p>
      <w:pPr>
        <w:spacing w:line="360" w:lineRule="auto"/>
        <w:jc w:val="left"/>
        <w:rPr>
          <w:rFonts w:eastAsia="仿宋_GB2312"/>
          <w:bCs/>
          <w:color w:val="auto"/>
          <w:sz w:val="32"/>
          <w:szCs w:val="32"/>
          <w:highlight w:val="none"/>
        </w:rPr>
      </w:pPr>
    </w:p>
    <w:p>
      <w:pPr>
        <w:spacing w:line="360" w:lineRule="auto"/>
        <w:jc w:val="both"/>
        <w:rPr>
          <w:rFonts w:eastAsia="华文中宋"/>
          <w:b/>
          <w:color w:val="auto"/>
          <w:sz w:val="52"/>
          <w:szCs w:val="52"/>
          <w:highlight w:val="none"/>
        </w:rPr>
      </w:pPr>
    </w:p>
    <w:p>
      <w:pPr>
        <w:spacing w:line="360" w:lineRule="auto"/>
        <w:jc w:val="center"/>
        <w:rPr>
          <w:rFonts w:ascii="华文中宋" w:hAnsi="华文中宋" w:eastAsia="华文中宋" w:cs="华文中宋"/>
          <w:b/>
          <w:color w:val="auto"/>
          <w:sz w:val="72"/>
          <w:szCs w:val="72"/>
          <w:highlight w:val="none"/>
        </w:rPr>
      </w:pPr>
      <w:r>
        <w:rPr>
          <w:rFonts w:hint="eastAsia" w:ascii="华文中宋" w:hAnsi="华文中宋" w:eastAsia="华文中宋" w:cs="华文中宋"/>
          <w:b/>
          <w:color w:val="auto"/>
          <w:sz w:val="72"/>
          <w:szCs w:val="72"/>
          <w:highlight w:val="none"/>
        </w:rPr>
        <w:t>园林绿化工程施工合同</w:t>
      </w:r>
    </w:p>
    <w:p>
      <w:pPr>
        <w:spacing w:line="360" w:lineRule="auto"/>
        <w:jc w:val="center"/>
        <w:rPr>
          <w:rFonts w:ascii="华文中宋" w:hAnsi="华文中宋" w:eastAsia="华文中宋" w:cs="华文中宋"/>
          <w:b/>
          <w:color w:val="auto"/>
          <w:sz w:val="72"/>
          <w:szCs w:val="72"/>
          <w:highlight w:val="none"/>
        </w:rPr>
      </w:pPr>
      <w:r>
        <w:rPr>
          <w:rFonts w:hint="eastAsia" w:ascii="华文中宋" w:hAnsi="华文中宋" w:eastAsia="华文中宋" w:cs="华文中宋"/>
          <w:b/>
          <w:color w:val="auto"/>
          <w:sz w:val="72"/>
          <w:szCs w:val="72"/>
          <w:highlight w:val="none"/>
        </w:rPr>
        <w:t>示范文本（试行）</w:t>
      </w:r>
    </w:p>
    <w:p>
      <w:pPr>
        <w:spacing w:line="360" w:lineRule="auto"/>
        <w:jc w:val="center"/>
        <w:rPr>
          <w:rFonts w:eastAsia="华文中宋"/>
          <w:b/>
          <w:color w:val="auto"/>
          <w:sz w:val="52"/>
          <w:szCs w:val="52"/>
          <w:highlight w:val="none"/>
        </w:rPr>
      </w:pPr>
    </w:p>
    <w:p>
      <w:pPr>
        <w:spacing w:line="360" w:lineRule="auto"/>
        <w:jc w:val="center"/>
        <w:rPr>
          <w:rFonts w:eastAsia="华文中宋"/>
          <w:b/>
          <w:color w:val="auto"/>
          <w:sz w:val="52"/>
          <w:szCs w:val="52"/>
          <w:highlight w:val="none"/>
        </w:rPr>
      </w:pPr>
    </w:p>
    <w:p>
      <w:pPr>
        <w:spacing w:line="360" w:lineRule="auto"/>
        <w:jc w:val="center"/>
        <w:rPr>
          <w:rFonts w:eastAsia="华文中宋"/>
          <w:b/>
          <w:color w:val="auto"/>
          <w:sz w:val="52"/>
          <w:szCs w:val="52"/>
          <w:highlight w:val="none"/>
        </w:rPr>
      </w:pPr>
    </w:p>
    <w:p>
      <w:pPr>
        <w:spacing w:line="360" w:lineRule="auto"/>
        <w:jc w:val="center"/>
        <w:rPr>
          <w:rFonts w:eastAsia="华文中宋"/>
          <w:b/>
          <w:color w:val="auto"/>
          <w:sz w:val="52"/>
          <w:szCs w:val="52"/>
          <w:highlight w:val="none"/>
        </w:rPr>
      </w:pPr>
    </w:p>
    <w:p>
      <w:pPr>
        <w:spacing w:line="360" w:lineRule="auto"/>
        <w:jc w:val="center"/>
        <w:rPr>
          <w:rFonts w:eastAsia="黑体"/>
          <w:b/>
          <w:color w:val="auto"/>
          <w:sz w:val="52"/>
          <w:szCs w:val="52"/>
          <w:highlight w:val="none"/>
        </w:rPr>
      </w:pPr>
    </w:p>
    <w:p>
      <w:pPr>
        <w:spacing w:line="360" w:lineRule="auto"/>
        <w:rPr>
          <w:b/>
          <w:color w:val="auto"/>
          <w:sz w:val="28"/>
          <w:szCs w:val="28"/>
          <w:highlight w:val="none"/>
        </w:rPr>
      </w:pPr>
    </w:p>
    <w:p>
      <w:pPr>
        <w:spacing w:line="360" w:lineRule="auto"/>
        <w:rPr>
          <w:b/>
          <w:color w:val="auto"/>
          <w:sz w:val="28"/>
          <w:szCs w:val="28"/>
          <w:highlight w:val="none"/>
        </w:rPr>
      </w:pPr>
    </w:p>
    <w:p>
      <w:pPr>
        <w:spacing w:line="360" w:lineRule="auto"/>
        <w:rPr>
          <w:b/>
          <w:color w:val="auto"/>
          <w:sz w:val="28"/>
          <w:szCs w:val="28"/>
          <w:highlight w:val="none"/>
        </w:rPr>
      </w:pPr>
    </w:p>
    <w:p>
      <w:pPr>
        <w:spacing w:line="360" w:lineRule="auto"/>
        <w:rPr>
          <w:b/>
          <w:color w:val="auto"/>
          <w:sz w:val="28"/>
          <w:szCs w:val="28"/>
          <w:highlight w:val="none"/>
        </w:rPr>
      </w:pPr>
      <w:r>
        <w:rPr>
          <w:color w:val="auto"/>
          <w:highlight w:val="none"/>
        </w:rPr>
        <mc:AlternateContent>
          <mc:Choice Requires="wps">
            <w:drawing>
              <wp:anchor distT="0" distB="0" distL="114300" distR="114300" simplePos="0" relativeHeight="251666432" behindDoc="0" locked="0" layoutInCell="1" allowOverlap="1">
                <wp:simplePos x="0" y="0"/>
                <wp:positionH relativeFrom="column">
                  <wp:posOffset>875030</wp:posOffset>
                </wp:positionH>
                <wp:positionV relativeFrom="paragraph">
                  <wp:posOffset>339725</wp:posOffset>
                </wp:positionV>
                <wp:extent cx="3467735" cy="904240"/>
                <wp:effectExtent l="4445" t="4445" r="13970" b="5715"/>
                <wp:wrapNone/>
                <wp:docPr id="11" name="文本框 11"/>
                <wp:cNvGraphicFramePr/>
                <a:graphic xmlns:a="http://schemas.openxmlformats.org/drawingml/2006/main">
                  <a:graphicData uri="http://schemas.microsoft.com/office/word/2010/wordprocessingShape">
                    <wps:wsp>
                      <wps:cNvSpPr txBox="1"/>
                      <wps:spPr>
                        <a:xfrm>
                          <a:off x="0" y="0"/>
                          <a:ext cx="3467735" cy="904240"/>
                        </a:xfrm>
                        <a:prstGeom prst="rect">
                          <a:avLst/>
                        </a:prstGeom>
                        <a:noFill/>
                        <a:ln w="9525" cap="flat" cmpd="sng">
                          <a:solidFill>
                            <a:srgbClr val="FFFFFF"/>
                          </a:solidFill>
                          <a:prstDash val="solid"/>
                          <a:miter/>
                          <a:headEnd type="none" w="med" len="med"/>
                          <a:tailEnd type="none" w="med" len="med"/>
                        </a:ln>
                        <a:effectLst/>
                      </wps:spPr>
                      <wps:txbx>
                        <w:txbxContent>
                          <w:p>
                            <w:pPr>
                              <w:jc w:val="distribute"/>
                              <w:rPr>
                                <w:b/>
                                <w:bCs/>
                                <w:sz w:val="32"/>
                              </w:rPr>
                            </w:pPr>
                            <w:r>
                              <w:rPr>
                                <w:rFonts w:hint="eastAsia"/>
                                <w:b/>
                                <w:bCs/>
                                <w:sz w:val="32"/>
                              </w:rPr>
                              <w:t>中华人民共和国住房和城乡建设部</w:t>
                            </w:r>
                          </w:p>
                          <w:p>
                            <w:pPr>
                              <w:jc w:val="distribute"/>
                              <w:rPr>
                                <w:b/>
                                <w:bCs/>
                                <w:sz w:val="32"/>
                              </w:rPr>
                            </w:pPr>
                            <w:r>
                              <w:rPr>
                                <w:rFonts w:hint="eastAsia"/>
                                <w:b/>
                                <w:bCs/>
                                <w:sz w:val="32"/>
                              </w:rPr>
                              <w:t>国家市场监督管理总局</w:t>
                            </w:r>
                          </w:p>
                        </w:txbxContent>
                      </wps:txbx>
                      <wps:bodyPr upright="1"/>
                    </wps:wsp>
                  </a:graphicData>
                </a:graphic>
              </wp:anchor>
            </w:drawing>
          </mc:Choice>
          <mc:Fallback>
            <w:pict>
              <v:shape id="_x0000_s1026" o:spid="_x0000_s1026" o:spt="202" type="#_x0000_t202" style="position:absolute;left:0pt;margin-left:68.9pt;margin-top:26.75pt;height:71.2pt;width:273.05pt;z-index:251666432;mso-width-relative:page;mso-height-relative:page;" filled="f" stroked="t" coordsize="21600,21600" o:gfxdata="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Z9FA3ZAAAACgEAAA8AAAAAAAAAAQAg&#10;AAAAIgAAAGRycy9kb3ducmV2LnhtbFBLAQIUABQAAAAIAIdO4kA/IDSLDQIAAB0EAAAOAAAAAAAA&#10;AAEAIAAAACgBAABkcnMvZTJvRG9jLnhtbFBLBQYAAAAABgAGAFkBAACnBQAAAAA=&#10;">
                <v:fill on="f" focussize="0,0"/>
                <v:stroke color="#FFFFFF" joinstyle="miter"/>
                <v:imagedata o:title=""/>
                <o:lock v:ext="edit" aspectratio="f"/>
                <v:textbox>
                  <w:txbxContent>
                    <w:p>
                      <w:pPr>
                        <w:jc w:val="distribute"/>
                        <w:rPr>
                          <w:b/>
                          <w:bCs/>
                          <w:sz w:val="32"/>
                        </w:rPr>
                      </w:pPr>
                      <w:r>
                        <w:rPr>
                          <w:rFonts w:hint="eastAsia"/>
                          <w:b/>
                          <w:bCs/>
                          <w:sz w:val="32"/>
                        </w:rPr>
                        <w:t>中华人民共和国住房和城乡建设部</w:t>
                      </w:r>
                    </w:p>
                    <w:p>
                      <w:pPr>
                        <w:jc w:val="distribute"/>
                        <w:rPr>
                          <w:b/>
                          <w:bCs/>
                          <w:sz w:val="32"/>
                        </w:rPr>
                      </w:pPr>
                      <w:r>
                        <w:rPr>
                          <w:rFonts w:hint="eastAsia"/>
                          <w:b/>
                          <w:bCs/>
                          <w:sz w:val="32"/>
                        </w:rPr>
                        <w:t>国家市场监督管理总局</w:t>
                      </w:r>
                    </w:p>
                  </w:txbxContent>
                </v:textbox>
              </v:shape>
            </w:pict>
          </mc:Fallback>
        </mc:AlternateContent>
      </w:r>
    </w:p>
    <w:p>
      <w:pPr>
        <w:spacing w:line="360" w:lineRule="auto"/>
        <w:ind w:right="2719" w:rightChars="1295" w:firstLine="2738" w:firstLineChars="1304"/>
        <w:jc w:val="distribute"/>
        <w:rPr>
          <w:b/>
          <w:color w:val="auto"/>
          <w:sz w:val="32"/>
          <w:szCs w:val="28"/>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4360545</wp:posOffset>
                </wp:positionH>
                <wp:positionV relativeFrom="paragraph">
                  <wp:posOffset>129540</wp:posOffset>
                </wp:positionV>
                <wp:extent cx="723900" cy="457200"/>
                <wp:effectExtent l="4445" t="4445" r="14605" b="14605"/>
                <wp:wrapNone/>
                <wp:docPr id="15" name="文本框 1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3.35pt;margin-top:10.2pt;height:36pt;width:57pt;z-index:251661312;mso-width-relative:page;mso-height-relative:page;" filled="f" stroked="t" coordsize="21600,21600" o:gfxdata="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ELz4dgAAAAJAQAADwAAAAAAAAABACAAAAAi&#10;AAAAZHJzL2Rvd25yZXYueG1sUEsBAhQAFAAAAAgAh07iQFS9GnAKAgAAHAQAAA4AAAAAAAAAAQAg&#10;AAAAJwEAAGRycy9lMm9Eb2MueG1sUEsFBgAAAAAGAAYAWQEAAK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p>
    <w:p>
      <w:pPr>
        <w:snapToGrid w:val="0"/>
        <w:jc w:val="center"/>
        <w:rPr>
          <w:rFonts w:ascii="华文中宋" w:hAnsi="华文中宋" w:eastAsia="华文中宋"/>
          <w:b/>
          <w:color w:val="auto"/>
          <w:sz w:val="44"/>
          <w:szCs w:val="44"/>
          <w:highlight w:val="none"/>
        </w:rPr>
        <w:sectPr>
          <w:footerReference r:id="rId8" w:type="first"/>
          <w:headerReference r:id="rId6" w:type="default"/>
          <w:footerReference r:id="rId7" w:type="default"/>
          <w:pgSz w:w="11906" w:h="16838"/>
          <w:pgMar w:top="2098" w:right="1757" w:bottom="1984" w:left="1757" w:header="851" w:footer="992" w:gutter="0"/>
          <w:pgNumType w:fmt="numberInDash" w:start="1"/>
          <w:cols w:space="720" w:num="1"/>
          <w:docGrid w:type="lines" w:linePitch="312" w:charSpace="0"/>
        </w:sectPr>
      </w:pPr>
      <w:bookmarkStart w:id="862" w:name="_Toc296890982"/>
      <w:bookmarkStart w:id="863" w:name="_Toc296503025"/>
    </w:p>
    <w:p>
      <w:pPr>
        <w:snapToGrid w:val="0"/>
        <w:spacing w:afterLines="100"/>
        <w:jc w:val="center"/>
        <w:rPr>
          <w:rFonts w:ascii="华文中宋" w:hAnsi="华文中宋" w:eastAsia="华文中宋" w:cs="仿宋"/>
          <w:b/>
          <w:color w:val="auto"/>
          <w:sz w:val="44"/>
          <w:szCs w:val="44"/>
          <w:highlight w:val="none"/>
        </w:rPr>
      </w:pPr>
      <w:r>
        <w:rPr>
          <w:rFonts w:hint="eastAsia" w:ascii="华文中宋" w:hAnsi="华文中宋" w:eastAsia="华文中宋"/>
          <w:b/>
          <w:color w:val="auto"/>
          <w:sz w:val="44"/>
          <w:szCs w:val="44"/>
          <w:highlight w:val="none"/>
        </w:rPr>
        <w:t>说</w:t>
      </w:r>
      <w:r>
        <w:rPr>
          <w:rFonts w:ascii="华文中宋" w:hAnsi="华文中宋" w:eastAsia="华文中宋"/>
          <w:b/>
          <w:color w:val="auto"/>
          <w:sz w:val="44"/>
          <w:szCs w:val="44"/>
          <w:highlight w:val="none"/>
        </w:rPr>
        <w:t xml:space="preserve">   </w:t>
      </w:r>
      <w:r>
        <w:rPr>
          <w:rFonts w:hint="eastAsia" w:ascii="华文中宋" w:hAnsi="华文中宋" w:eastAsia="华文中宋"/>
          <w:b/>
          <w:color w:val="auto"/>
          <w:sz w:val="44"/>
          <w:szCs w:val="44"/>
          <w:highlight w:val="none"/>
        </w:rPr>
        <w:t>明</w:t>
      </w:r>
    </w:p>
    <w:p>
      <w:pPr>
        <w:keepNext w:val="0"/>
        <w:keepLines w:val="0"/>
        <w:pageBreakBefore w:val="0"/>
        <w:widowControl w:val="0"/>
        <w:kinsoku/>
        <w:wordWrap/>
        <w:overflowPunct/>
        <w:topLinePunct w:val="0"/>
        <w:autoSpaceDE/>
        <w:autoSpaceDN/>
        <w:bidi w:val="0"/>
        <w:adjustRightInd/>
        <w:snapToGrid/>
        <w:spacing w:line="312" w:lineRule="auto"/>
        <w:ind w:firstLine="6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为指导园林绿化工程施工合同当事人的签约行为，维护合同当事人的合法权益，依据《中华人民共和国民法典》《中华人民共和国建筑法》《中华人民共和国招标投标法》以及相关法律法规，住房和城乡建设部、市场监管总局组织编制了《园林绿化工程施工合同示范文本（试行）》</w:t>
      </w:r>
      <w:r>
        <w:rPr>
          <w:rFonts w:hint="eastAsia" w:ascii="宋体" w:hAnsi="宋体" w:eastAsia="宋体" w:cs="宋体"/>
          <w:bCs/>
          <w:color w:val="auto"/>
          <w:sz w:val="21"/>
          <w:szCs w:val="21"/>
          <w:highlight w:val="none"/>
        </w:rPr>
        <w:t>（GF—2020—2605）（以下简称《合同示范文本》）。为便于合同当事人使用，现就有关问题说明如下：</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一、《合同示范文本》的组成</w:t>
      </w:r>
    </w:p>
    <w:p>
      <w:pPr>
        <w:keepNext w:val="0"/>
        <w:keepLines w:val="0"/>
        <w:pageBreakBefore w:val="0"/>
        <w:widowControl w:val="0"/>
        <w:kinsoku/>
        <w:wordWrap/>
        <w:overflowPunct/>
        <w:topLinePunct w:val="0"/>
        <w:autoSpaceDE/>
        <w:autoSpaceDN/>
        <w:bidi w:val="0"/>
        <w:adjustRightInd/>
        <w:snapToGrid/>
        <w:spacing w:line="312" w:lineRule="auto"/>
        <w:ind w:firstLine="6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《合同示范文本》由合同协议书、通用合同条款和专用合同条款三部分组成。</w:t>
      </w:r>
    </w:p>
    <w:p>
      <w:pPr>
        <w:keepNext w:val="0"/>
        <w:keepLines w:val="0"/>
        <w:pageBreakBefore w:val="0"/>
        <w:widowControl w:val="0"/>
        <w:numPr>
          <w:ilvl w:val="0"/>
          <w:numId w:val="5"/>
        </w:numPr>
        <w:kinsoku/>
        <w:wordWrap/>
        <w:overflowPunct/>
        <w:topLinePunct w:val="0"/>
        <w:autoSpaceDE/>
        <w:autoSpaceDN/>
        <w:bidi w:val="0"/>
        <w:adjustRightInd/>
        <w:snapToGrid/>
        <w:spacing w:line="312" w:lineRule="auto"/>
        <w:ind w:firstLine="6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合同协议书</w:t>
      </w:r>
    </w:p>
    <w:p>
      <w:pPr>
        <w:keepNext w:val="0"/>
        <w:keepLines w:val="0"/>
        <w:pageBreakBefore w:val="0"/>
        <w:widowControl w:val="0"/>
        <w:kinsoku/>
        <w:wordWrap/>
        <w:overflowPunct/>
        <w:topLinePunct w:val="0"/>
        <w:autoSpaceDE/>
        <w:autoSpaceDN/>
        <w:bidi w:val="0"/>
        <w:adjustRightInd/>
        <w:snapToGrid/>
        <w:spacing w:line="312" w:lineRule="auto"/>
        <w:ind w:firstLine="6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合同协议书共计16条，主要包括：工程概况、合同工期、质量标准、签约合同价与合同价格形式、承包人项目负责人、预付款、绿化种植及养护要求、其他要求、合同文件构成、</w:t>
      </w:r>
      <w:r>
        <w:rPr>
          <w:rFonts w:hint="eastAsia" w:ascii="宋体" w:hAnsi="宋体" w:eastAsia="宋体" w:cs="宋体"/>
          <w:color w:val="auto"/>
          <w:sz w:val="21"/>
          <w:szCs w:val="21"/>
          <w:highlight w:val="none"/>
        </w:rPr>
        <w:t>承诺以及合同生效条件等重要内容，集中约定了合同当事人基本的合同权利义务。</w:t>
      </w:r>
    </w:p>
    <w:p>
      <w:pPr>
        <w:keepNext w:val="0"/>
        <w:keepLines w:val="0"/>
        <w:pageBreakBefore w:val="0"/>
        <w:widowControl w:val="0"/>
        <w:numPr>
          <w:ilvl w:val="0"/>
          <w:numId w:val="5"/>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通用合同条款</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通用合同条款共计</w:t>
      </w:r>
      <w:r>
        <w:rPr>
          <w:rFonts w:hint="eastAsia" w:ascii="宋体" w:hAnsi="宋体" w:eastAsia="宋体" w:cs="宋体"/>
          <w:bCs/>
          <w:color w:val="auto"/>
          <w:sz w:val="21"/>
          <w:szCs w:val="21"/>
          <w:highlight w:val="none"/>
        </w:rPr>
        <w:t>20</w:t>
      </w:r>
      <w:r>
        <w:rPr>
          <w:rFonts w:hint="eastAsia" w:ascii="宋体" w:hAnsi="宋体" w:eastAsia="宋体" w:cs="宋体"/>
          <w:color w:val="auto"/>
          <w:sz w:val="21"/>
          <w:szCs w:val="21"/>
          <w:highlight w:val="none"/>
        </w:rPr>
        <w:t>条，采用《建设工程施工合同（示范文本）》（</w:t>
      </w:r>
      <w:r>
        <w:rPr>
          <w:rFonts w:hint="eastAsia" w:ascii="宋体" w:hAnsi="宋体" w:eastAsia="宋体" w:cs="宋体"/>
          <w:bCs/>
          <w:color w:val="auto"/>
          <w:sz w:val="21"/>
          <w:szCs w:val="21"/>
          <w:highlight w:val="none"/>
        </w:rPr>
        <w:t>GF-2017-0201</w:t>
      </w:r>
      <w:r>
        <w:rPr>
          <w:rFonts w:hint="eastAsia" w:ascii="宋体" w:hAnsi="宋体" w:eastAsia="宋体" w:cs="宋体"/>
          <w:color w:val="auto"/>
          <w:sz w:val="21"/>
          <w:szCs w:val="21"/>
          <w:highlight w:val="none"/>
        </w:rPr>
        <w:t>）的“通用合同条款”。</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rPr>
      </w:pPr>
      <w:bookmarkStart w:id="864" w:name="_Toc24841"/>
      <w:r>
        <w:rPr>
          <w:rFonts w:hint="eastAsia" w:ascii="宋体" w:hAnsi="宋体" w:eastAsia="宋体" w:cs="宋体"/>
          <w:color w:val="auto"/>
          <w:sz w:val="21"/>
          <w:szCs w:val="21"/>
          <w:highlight w:val="none"/>
        </w:rPr>
        <w:t>（三）专用合同条款</w:t>
      </w:r>
      <w:bookmarkEnd w:id="864"/>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专用合同条款共计</w:t>
      </w:r>
      <w:r>
        <w:rPr>
          <w:rFonts w:hint="eastAsia" w:ascii="宋体" w:hAnsi="宋体" w:eastAsia="宋体" w:cs="宋体"/>
          <w:bCs/>
          <w:color w:val="auto"/>
          <w:sz w:val="21"/>
          <w:szCs w:val="21"/>
          <w:highlight w:val="none"/>
        </w:rPr>
        <w:t>20</w:t>
      </w:r>
      <w:r>
        <w:rPr>
          <w:rFonts w:hint="eastAsia" w:ascii="宋体" w:hAnsi="宋体" w:eastAsia="宋体" w:cs="宋体"/>
          <w:color w:val="auto"/>
          <w:sz w:val="21"/>
          <w:szCs w:val="21"/>
          <w:highlight w:val="none"/>
        </w:rPr>
        <w:t>条，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keepNext w:val="0"/>
        <w:keepLines w:val="0"/>
        <w:pageBreakBefore w:val="0"/>
        <w:widowControl w:val="0"/>
        <w:kinsoku/>
        <w:wordWrap/>
        <w:overflowPunct/>
        <w:topLinePunct w:val="0"/>
        <w:autoSpaceDE/>
        <w:autoSpaceDN/>
        <w:bidi w:val="0"/>
        <w:adjustRightInd/>
        <w:snapToGrid/>
        <w:spacing w:line="312" w:lineRule="auto"/>
        <w:ind w:right="25" w:rightChars="12"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1.专用合同条款的编号应与相应的通用合同条款的编号一致；</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2.合同当事人可以通过对专用合同条款的修改，满足具体建设工程的特殊要求，避免直接修改通用合同条款；</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3.在专用合同条款中有横道线的地方，合同当事人可针对相应的通用合同条款进行细化、完善、补充、修改或另行约定；如无细化、完善、补充、修改或另行约定，则填写“无”或划“/”。</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b/>
          <w:color w:val="auto"/>
          <w:sz w:val="21"/>
          <w:szCs w:val="21"/>
          <w:highlight w:val="none"/>
        </w:rPr>
      </w:pPr>
      <w:bookmarkStart w:id="865" w:name="_Toc22393"/>
      <w:r>
        <w:rPr>
          <w:rFonts w:hint="eastAsia" w:ascii="宋体" w:hAnsi="宋体" w:eastAsia="宋体" w:cs="宋体"/>
          <w:bCs/>
          <w:color w:val="auto"/>
          <w:sz w:val="21"/>
          <w:szCs w:val="21"/>
          <w:highlight w:val="none"/>
        </w:rPr>
        <w:t>二、《合同示范文本》的性质和适用范围</w:t>
      </w:r>
      <w:bookmarkEnd w:id="865"/>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示范文本》为非强制性使用文本。《合同示范文本》适用于园林绿化工程的施工承发包活动,合同当事人可结合园林绿化工程具体情况，参照本合同示范文本订立合同，并按照法律法规规定和合同约定承担相应的法律责任及合同权利义务。</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《合同示范文本》中引用的规范、标准中，未备注编制年号的，均采用现行最新版本。</w:t>
      </w:r>
    </w:p>
    <w:p>
      <w:pPr>
        <w:rPr>
          <w:rFonts w:hint="eastAsia" w:ascii="宋体" w:hAnsi="宋体" w:eastAsia="宋体" w:cs="宋体"/>
          <w:color w:val="auto"/>
          <w:sz w:val="21"/>
          <w:szCs w:val="21"/>
          <w:highlight w:val="none"/>
        </w:rPr>
        <w:sectPr>
          <w:footerReference r:id="rId10" w:type="first"/>
          <w:footerReference r:id="rId9" w:type="default"/>
          <w:pgSz w:w="11906" w:h="16838"/>
          <w:pgMar w:top="2098" w:right="1757" w:bottom="1984" w:left="1757" w:header="851" w:footer="1417" w:gutter="0"/>
          <w:pgNumType w:fmt="numberInDash"/>
          <w:cols w:space="720" w:num="1"/>
          <w:docGrid w:type="lines" w:linePitch="312" w:charSpace="0"/>
        </w:sectPr>
      </w:pPr>
    </w:p>
    <w:bookmarkEnd w:id="862"/>
    <w:bookmarkEnd w:id="863"/>
    <w:p>
      <w:pPr>
        <w:snapToGrid w:val="0"/>
        <w:spacing w:afterLines="100"/>
        <w:jc w:val="center"/>
        <w:rPr>
          <w:rFonts w:ascii="华文中宋" w:hAnsi="华文中宋" w:eastAsia="华文中宋"/>
          <w:b/>
          <w:color w:val="auto"/>
          <w:sz w:val="44"/>
          <w:szCs w:val="44"/>
          <w:highlight w:val="none"/>
        </w:rPr>
      </w:pPr>
      <w:r>
        <w:rPr>
          <w:rFonts w:hint="eastAsia" w:ascii="华文中宋" w:hAnsi="华文中宋" w:eastAsia="华文中宋"/>
          <w:b/>
          <w:color w:val="auto"/>
          <w:sz w:val="44"/>
          <w:szCs w:val="44"/>
          <w:highlight w:val="none"/>
        </w:rPr>
        <w:t>目</w:t>
      </w:r>
      <w:r>
        <w:rPr>
          <w:rFonts w:ascii="华文中宋" w:hAnsi="华文中宋" w:eastAsia="华文中宋"/>
          <w:b/>
          <w:color w:val="auto"/>
          <w:sz w:val="44"/>
          <w:szCs w:val="44"/>
          <w:highlight w:val="none"/>
        </w:rPr>
        <w:t xml:space="preserve">  </w:t>
      </w:r>
      <w:r>
        <w:rPr>
          <w:rFonts w:hint="eastAsia" w:ascii="华文中宋" w:hAnsi="华文中宋" w:eastAsia="华文中宋"/>
          <w:b/>
          <w:color w:val="auto"/>
          <w:sz w:val="44"/>
          <w:szCs w:val="44"/>
          <w:highlight w:val="none"/>
        </w:rPr>
        <w:t>录</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"_Toc2143857470"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第一部分 合同协议书</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一、工程概况</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二、合同工期</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三、质量标准</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四、签约合同价与合同价格形式</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五、承包人项目负责人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六、预付款</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七、绿化种植及养护要求</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八、其他要求</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九、合同文件构成</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十、承诺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4</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十一、词语含义</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4</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十二、签订时间</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5</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十三、签订地点</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5</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十四、补充协议</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5</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十五、合同生效</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5</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十六、合同份数</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5</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"_Toc725136582"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第二部分 通用合同条款</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"_Toc538026417"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第三部分 专用合同条款</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color w:val="auto"/>
          <w:sz w:val="21"/>
          <w:szCs w:val="21"/>
          <w:highlight w:val="none"/>
        </w:rPr>
        <w:t>. 一般约定</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8</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发包人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13</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承包人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15</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监理人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18</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工程质量</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19</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安全文明施工与环境保护</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19</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工期和进度</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20</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 材料与设备</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23</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 试验与检验</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24</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变更</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24</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价格调整</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25</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合同价格、计量与支付</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26</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 验收和工程试车</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30</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竣工结算</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31</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缺陷责任期与保修</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33</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违约</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34</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 不可抗力</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36</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 保险</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36</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 争议解决</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37</w:t>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"_Toc372503870"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附件1：</w:t>
      </w:r>
      <w:r>
        <w:rPr>
          <w:rFonts w:hint="eastAsia" w:ascii="宋体" w:hAnsi="宋体" w:eastAsia="宋体" w:cs="宋体"/>
          <w:bCs/>
          <w:color w:val="auto"/>
          <w:sz w:val="21"/>
          <w:szCs w:val="21"/>
          <w:highlight w:val="none"/>
        </w:rPr>
        <w:t>承包人承揽工程项目一览表</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39</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"_Toc87754172"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附件2：</w:t>
      </w:r>
      <w:r>
        <w:rPr>
          <w:rFonts w:hint="eastAsia" w:ascii="宋体" w:hAnsi="宋体" w:eastAsia="宋体" w:cs="宋体"/>
          <w:bCs/>
          <w:color w:val="auto"/>
          <w:sz w:val="21"/>
          <w:szCs w:val="21"/>
          <w:highlight w:val="none"/>
        </w:rPr>
        <w:t>现状树木一览表</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40</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"_Toc935379669"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附件3：</w:t>
      </w:r>
      <w:r>
        <w:rPr>
          <w:rFonts w:hint="eastAsia" w:ascii="宋体" w:hAnsi="宋体" w:eastAsia="宋体" w:cs="宋体"/>
          <w:bCs/>
          <w:color w:val="auto"/>
          <w:sz w:val="21"/>
          <w:szCs w:val="21"/>
          <w:highlight w:val="none"/>
        </w:rPr>
        <w:t>暂估价一览表</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41</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"_Toc245732170"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附件4：</w:t>
      </w:r>
      <w:r>
        <w:rPr>
          <w:rFonts w:hint="eastAsia" w:ascii="宋体" w:hAnsi="宋体" w:eastAsia="宋体" w:cs="宋体"/>
          <w:bCs/>
          <w:color w:val="auto"/>
          <w:sz w:val="21"/>
          <w:szCs w:val="21"/>
          <w:highlight w:val="none"/>
        </w:rPr>
        <w:t>发包人供应材料设备一览表</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42</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"_Toc1053508749"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附件5：</w:t>
      </w:r>
      <w:r>
        <w:rPr>
          <w:rFonts w:hint="eastAsia" w:ascii="宋体" w:hAnsi="宋体" w:eastAsia="宋体" w:cs="宋体"/>
          <w:bCs/>
          <w:color w:val="auto"/>
          <w:sz w:val="21"/>
          <w:szCs w:val="21"/>
          <w:highlight w:val="none"/>
        </w:rPr>
        <w:t>发包人供应苗木一览表</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43</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"_Toc1357349786"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 xml:space="preserve">附件6: </w:t>
      </w:r>
      <w:r>
        <w:rPr>
          <w:rFonts w:hint="eastAsia" w:ascii="宋体" w:hAnsi="宋体" w:eastAsia="宋体" w:cs="宋体"/>
          <w:bCs/>
          <w:color w:val="auto"/>
          <w:sz w:val="21"/>
          <w:szCs w:val="21"/>
          <w:highlight w:val="none"/>
        </w:rPr>
        <w:t>绿化养护责任书</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44</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"_Toc774953693"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 xml:space="preserve">附件7: </w:t>
      </w:r>
      <w:r>
        <w:rPr>
          <w:rFonts w:hint="eastAsia" w:ascii="宋体" w:hAnsi="宋体" w:eastAsia="宋体" w:cs="宋体"/>
          <w:bCs/>
          <w:color w:val="auto"/>
          <w:sz w:val="21"/>
          <w:szCs w:val="21"/>
          <w:highlight w:val="none"/>
        </w:rPr>
        <w:t>工程质量保修书</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47</w:t>
      </w:r>
      <w:r>
        <w:rPr>
          <w:rFonts w:hint="eastAsia" w:ascii="宋体" w:hAnsi="宋体" w:eastAsia="宋体" w:cs="宋体"/>
          <w:color w:val="auto"/>
          <w:sz w:val="21"/>
          <w:szCs w:val="21"/>
          <w:highlight w:val="none"/>
        </w:rPr>
        <w:fldChar w:fldCharType="end"/>
      </w:r>
    </w:p>
    <w:p>
      <w:pPr>
        <w:pStyle w:val="215"/>
        <w:keepNext w:val="0"/>
        <w:keepLines w:val="0"/>
        <w:pageBreakBefore w:val="0"/>
        <w:widowControl/>
        <w:tabs>
          <w:tab w:val="right" w:leader="dot" w:pos="8618"/>
        </w:tabs>
        <w:kinsoku/>
        <w:wordWrap/>
        <w:overflowPunct/>
        <w:topLinePunct w:val="0"/>
        <w:autoSpaceDE/>
        <w:autoSpaceDN/>
        <w:bidi w:val="0"/>
        <w:adjustRightInd/>
        <w:snapToGrid/>
        <w:spacing w:line="312" w:lineRule="auto"/>
        <w:textAlignment w:val="auto"/>
        <w:rPr>
          <w:color w:val="auto"/>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\l "_Toc362478915"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附件8：</w:t>
      </w:r>
      <w:r>
        <w:rPr>
          <w:rFonts w:hint="eastAsia" w:ascii="宋体" w:hAnsi="宋体" w:eastAsia="宋体" w:cs="宋体"/>
          <w:bCs/>
          <w:color w:val="auto"/>
          <w:sz w:val="21"/>
          <w:szCs w:val="21"/>
          <w:highlight w:val="none"/>
        </w:rPr>
        <w:t>廉政建设责任书</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50</w:t>
      </w:r>
      <w:r>
        <w:rPr>
          <w:rFonts w:hint="eastAsia" w:ascii="宋体" w:hAnsi="宋体" w:eastAsia="宋体" w:cs="宋体"/>
          <w:color w:val="auto"/>
          <w:sz w:val="21"/>
          <w:szCs w:val="21"/>
          <w:highlight w:val="none"/>
        </w:rPr>
        <w:fldChar w:fldCharType="end"/>
      </w:r>
    </w:p>
    <w:p>
      <w:pPr>
        <w:pStyle w:val="5"/>
        <w:spacing w:before="260" w:after="260" w:line="360" w:lineRule="auto"/>
        <w:jc w:val="center"/>
        <w:outlineLvl w:val="9"/>
        <w:rPr>
          <w:rFonts w:ascii="黑体" w:hAnsi="黑体" w:eastAsia="黑体" w:cs="黑体"/>
          <w:b w:val="0"/>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5"/>
        <w:spacing w:before="260" w:after="260" w:line="360" w:lineRule="auto"/>
        <w:jc w:val="center"/>
        <w:outlineLvl w:val="9"/>
        <w:rPr>
          <w:rFonts w:ascii="黑体" w:hAnsi="黑体" w:eastAsia="黑体" w:cs="黑体"/>
          <w:b w:val="0"/>
          <w:color w:val="auto"/>
          <w:highlight w:val="none"/>
        </w:rPr>
        <w:sectPr>
          <w:footerReference r:id="rId13" w:type="first"/>
          <w:headerReference r:id="rId11" w:type="default"/>
          <w:footerReference r:id="rId12" w:type="default"/>
          <w:pgSz w:w="11906" w:h="16838"/>
          <w:pgMar w:top="2098" w:right="1757" w:bottom="1984" w:left="1757" w:header="851" w:footer="1417" w:gutter="0"/>
          <w:pgNumType w:fmt="numberInDash"/>
          <w:cols w:space="720" w:num="1"/>
          <w:docGrid w:type="lines" w:linePitch="312" w:charSpace="0"/>
        </w:sectPr>
      </w:pPr>
    </w:p>
    <w:p>
      <w:pPr>
        <w:pStyle w:val="5"/>
        <w:spacing w:before="260" w:after="260" w:line="360" w:lineRule="auto"/>
        <w:jc w:val="center"/>
        <w:rPr>
          <w:rFonts w:ascii="黑体" w:hAnsi="黑体" w:eastAsia="黑体" w:cs="黑体"/>
          <w:b w:val="0"/>
          <w:color w:val="auto"/>
          <w:highlight w:val="none"/>
        </w:rPr>
      </w:pPr>
      <w:r>
        <w:rPr>
          <w:rFonts w:ascii="黑体" w:hAnsi="黑体" w:eastAsia="黑体" w:cs="黑体"/>
          <w:b w:val="0"/>
          <w:color w:val="auto"/>
          <w:highlight w:val="none"/>
        </w:rPr>
        <w:t xml:space="preserve"> </w:t>
      </w:r>
      <w:bookmarkStart w:id="866" w:name="_Toc509499434"/>
      <w:bookmarkStart w:id="867" w:name="_Toc2128344692"/>
      <w:bookmarkStart w:id="868" w:name="_Toc25819"/>
      <w:bookmarkStart w:id="869" w:name="_Toc725"/>
      <w:bookmarkStart w:id="870" w:name="_Toc2143857470"/>
      <w:r>
        <w:rPr>
          <w:rFonts w:hint="eastAsia" w:ascii="黑体" w:hAnsi="黑体" w:eastAsia="黑体" w:cs="黑体"/>
          <w:b w:val="0"/>
          <w:color w:val="auto"/>
          <w:highlight w:val="none"/>
        </w:rPr>
        <w:t>第一部分</w:t>
      </w:r>
      <w:r>
        <w:rPr>
          <w:rFonts w:ascii="黑体" w:hAnsi="黑体" w:eastAsia="黑体" w:cs="黑体"/>
          <w:b w:val="0"/>
          <w:color w:val="auto"/>
          <w:highlight w:val="none"/>
        </w:rPr>
        <w:t xml:space="preserve"> </w:t>
      </w:r>
      <w:r>
        <w:rPr>
          <w:rFonts w:hint="eastAsia" w:ascii="黑体" w:hAnsi="黑体" w:eastAsia="黑体" w:cs="黑体"/>
          <w:b w:val="0"/>
          <w:color w:val="auto"/>
          <w:highlight w:val="none"/>
        </w:rPr>
        <w:t>合同协议书</w:t>
      </w:r>
      <w:bookmarkEnd w:id="866"/>
      <w:bookmarkEnd w:id="867"/>
      <w:bookmarkEnd w:id="868"/>
      <w:bookmarkEnd w:id="869"/>
      <w:bookmarkEnd w:id="870"/>
    </w:p>
    <w:p>
      <w:pPr>
        <w:pageBreakBefore w:val="0"/>
        <w:widowControl w:val="0"/>
        <w:kinsoku/>
        <w:wordWrap/>
        <w:overflowPunct/>
        <w:topLinePunct w:val="0"/>
        <w:bidi w:val="0"/>
        <w:snapToGrid/>
        <w:spacing w:line="312" w:lineRule="auto"/>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发包人（全称）：</w:t>
      </w:r>
      <w:r>
        <w:rPr>
          <w:rFonts w:hint="eastAsia" w:ascii="宋体" w:cs="宋体"/>
          <w:color w:val="auto"/>
          <w:szCs w:val="21"/>
          <w:highlight w:val="none"/>
          <w:u w:val="single"/>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pPr>
        <w:pageBreakBefore w:val="0"/>
        <w:widowControl w:val="0"/>
        <w:kinsoku/>
        <w:wordWrap/>
        <w:overflowPunct/>
        <w:topLinePunct w:val="0"/>
        <w:bidi w:val="0"/>
        <w:snapToGrid/>
        <w:spacing w:line="312" w:lineRule="auto"/>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承包人（全称）：</w:t>
      </w:r>
      <w:r>
        <w:rPr>
          <w:rFonts w:hint="eastAsia" w:ascii="宋体" w:hAnsi="宋体" w:eastAsia="宋体" w:cs="宋体"/>
          <w:bCs/>
          <w:color w:val="auto"/>
          <w:sz w:val="21"/>
          <w:szCs w:val="21"/>
          <w:highlight w:val="none"/>
          <w:u w:val="single"/>
        </w:rPr>
        <w:t xml:space="preserve">        </w:t>
      </w:r>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p>
    <w:p>
      <w:pPr>
        <w:pageBreakBefore w:val="0"/>
        <w:widowControl w:val="0"/>
        <w:kinsoku/>
        <w:wordWrap/>
        <w:overflowPunct/>
        <w:topLinePunct w:val="0"/>
        <w:bidi w:val="0"/>
        <w:snapToGrid/>
        <w:spacing w:line="312"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根据《中华人民共和国民法典》《中华人民共和国建筑法》及有关法律规定，遵循平等、自愿、公平和诚实信用的原则，双方就</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eastAsia="zh-CN"/>
        </w:rPr>
        <w:t>滁宁城际铁路金陵路管线迁改苗木恢复</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工程施工及有关事项协商一致，共同达成如下协议：</w:t>
      </w:r>
    </w:p>
    <w:p>
      <w:pPr>
        <w:pStyle w:val="6"/>
        <w:pageBreakBefore w:val="0"/>
        <w:widowControl w:val="0"/>
        <w:kinsoku/>
        <w:wordWrap/>
        <w:overflowPunct/>
        <w:topLinePunct w:val="0"/>
        <w:bidi w:val="0"/>
        <w:snapToGrid/>
        <w:spacing w:before="0" w:beforeLines="0" w:after="0" w:afterLines="0" w:line="312"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w:t>
      </w:r>
      <w:bookmarkStart w:id="871" w:name="_Toc445784615"/>
      <w:bookmarkStart w:id="872" w:name="_Toc1433341455"/>
      <w:r>
        <w:rPr>
          <w:rFonts w:hint="eastAsia" w:ascii="宋体" w:hAnsi="宋体" w:eastAsia="宋体" w:cs="宋体"/>
          <w:b w:val="0"/>
          <w:color w:val="auto"/>
          <w:sz w:val="21"/>
          <w:szCs w:val="21"/>
          <w:highlight w:val="none"/>
        </w:rPr>
        <w:t>一、工程概况</w:t>
      </w:r>
      <w:bookmarkEnd w:id="871"/>
      <w:bookmarkEnd w:id="872"/>
    </w:p>
    <w:p>
      <w:pPr>
        <w:pageBreakBefore w:val="0"/>
        <w:widowControl w:val="0"/>
        <w:kinsoku/>
        <w:wordWrap/>
        <w:overflowPunct/>
        <w:topLinePunct w:val="0"/>
        <w:bidi w:val="0"/>
        <w:snapToGrid/>
        <w:spacing w:line="312" w:lineRule="auto"/>
        <w:ind w:firstLine="411" w:firstLineChars="196"/>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1.工程名称：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eastAsia="zh-CN"/>
        </w:rPr>
        <w:t>滁宁城际铁路金陵路管线迁改苗木恢复</w:t>
      </w:r>
      <w:r>
        <w:rPr>
          <w:rFonts w:hint="eastAsia" w:ascii="宋体" w:hAnsi="宋体" w:cs="宋体"/>
          <w:bCs/>
          <w:color w:val="auto"/>
          <w:kern w:val="1"/>
          <w:szCs w:val="21"/>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11" w:firstLineChars="196"/>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2.工程地点：</w:t>
      </w:r>
      <w:r>
        <w:rPr>
          <w:rFonts w:hint="eastAsia" w:ascii="宋体" w:hAnsi="宋体" w:eastAsia="宋体" w:cs="宋体"/>
          <w:bCs/>
          <w:color w:val="auto"/>
          <w:sz w:val="21"/>
          <w:szCs w:val="21"/>
          <w:highlight w:val="none"/>
          <w:u w:val="single"/>
        </w:rPr>
        <w:t xml:space="preserve">      </w:t>
      </w:r>
      <w:r>
        <w:rPr>
          <w:rFonts w:hint="eastAsia" w:ascii="宋体" w:cs="宋体"/>
          <w:color w:val="auto"/>
          <w:szCs w:val="21"/>
          <w:highlight w:val="none"/>
          <w:u w:val="single"/>
          <w:lang w:val="en-US" w:eastAsia="zh-CN"/>
        </w:rPr>
        <w:t>滁州市，发包人指定地点</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11" w:firstLineChars="196"/>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3.工程立项批准文号：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11" w:firstLineChars="196"/>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4.资金来源：</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自筹</w:t>
      </w:r>
      <w:r>
        <w:rPr>
          <w:rFonts w:hint="eastAsia" w:ascii="宋体" w:hAnsi="宋体" w:cs="宋体"/>
          <w:bCs/>
          <w:color w:val="auto"/>
          <w:sz w:val="21"/>
          <w:szCs w:val="21"/>
          <w:highlight w:val="none"/>
          <w:u w:val="single"/>
          <w:lang w:val="en-US" w:eastAsia="zh-CN"/>
        </w:rPr>
        <w:t>资金</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11" w:firstLineChars="196"/>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5.工程规模：</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工程内容包括园林种植土回填、苗木栽植、苗木保护、苗木养护等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11" w:firstLineChars="196"/>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群体工程应附《承包人承揽工程项目一览表》（附件1）。</w:t>
      </w:r>
    </w:p>
    <w:p>
      <w:pPr>
        <w:pageBreakBefore w:val="0"/>
        <w:widowControl w:val="0"/>
        <w:kinsoku/>
        <w:wordWrap/>
        <w:overflowPunct/>
        <w:topLinePunct w:val="0"/>
        <w:bidi w:val="0"/>
        <w:snapToGrid/>
        <w:spacing w:line="312" w:lineRule="auto"/>
        <w:ind w:firstLine="411" w:firstLineChars="196"/>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6.工程承包范围：</w:t>
      </w:r>
      <w:r>
        <w:rPr>
          <w:rFonts w:hint="eastAsia" w:ascii="宋体" w:hAnsi="宋体" w:eastAsia="宋体" w:cs="宋体"/>
          <w:b/>
          <w:bCs/>
          <w:color w:val="auto"/>
          <w:sz w:val="21"/>
          <w:szCs w:val="21"/>
          <w:highlight w:val="none"/>
          <w:u w:val="single"/>
          <w:lang w:val="en-US" w:eastAsia="zh-CN"/>
        </w:rPr>
        <w:t>图纸、</w:t>
      </w:r>
      <w:r>
        <w:rPr>
          <w:rFonts w:hint="eastAsia" w:ascii="宋体" w:hAnsi="宋体" w:eastAsia="宋体" w:cs="宋体"/>
          <w:b/>
          <w:bCs/>
          <w:color w:val="auto"/>
          <w:sz w:val="21"/>
          <w:szCs w:val="21"/>
          <w:highlight w:val="none"/>
          <w:u w:val="single"/>
        </w:rPr>
        <w:t>工程量清单载明的施工内容及施工过程中的变更调整内容</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pPr>
        <w:pStyle w:val="6"/>
        <w:pageBreakBefore w:val="0"/>
        <w:widowControl w:val="0"/>
        <w:kinsoku/>
        <w:wordWrap/>
        <w:overflowPunct/>
        <w:topLinePunct w:val="0"/>
        <w:bidi w:val="0"/>
        <w:snapToGrid/>
        <w:spacing w:before="0" w:beforeLines="0" w:after="0" w:afterLines="0" w:line="312" w:lineRule="auto"/>
        <w:ind w:firstLine="420" w:firstLineChars="200"/>
        <w:textAlignment w:val="auto"/>
        <w:rPr>
          <w:rFonts w:hint="eastAsia" w:ascii="宋体" w:hAnsi="宋体" w:eastAsia="宋体" w:cs="宋体"/>
          <w:b w:val="0"/>
          <w:color w:val="auto"/>
          <w:sz w:val="21"/>
          <w:szCs w:val="21"/>
          <w:highlight w:val="none"/>
        </w:rPr>
      </w:pPr>
      <w:bookmarkStart w:id="873" w:name="_Toc1515347488"/>
      <w:bookmarkStart w:id="874" w:name="_Toc712002224"/>
      <w:r>
        <w:rPr>
          <w:rFonts w:hint="eastAsia" w:ascii="宋体" w:hAnsi="宋体" w:eastAsia="宋体" w:cs="宋体"/>
          <w:b w:val="0"/>
          <w:color w:val="auto"/>
          <w:sz w:val="21"/>
          <w:szCs w:val="21"/>
          <w:highlight w:val="none"/>
        </w:rPr>
        <w:t>二、合同工期</w:t>
      </w:r>
      <w:bookmarkEnd w:id="873"/>
      <w:bookmarkEnd w:id="874"/>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计划开工日期：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日。（以总监签发的开工令为准）</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计划竣工日期：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工期总日历天数：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天，阶段性工期：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工期总日历天数与根据前述计划开竣工日期计算的工期天数不一致的，以工期总日历天数为准。</w:t>
      </w:r>
    </w:p>
    <w:p>
      <w:pPr>
        <w:pStyle w:val="6"/>
        <w:pageBreakBefore w:val="0"/>
        <w:widowControl w:val="0"/>
        <w:kinsoku/>
        <w:wordWrap/>
        <w:overflowPunct/>
        <w:topLinePunct w:val="0"/>
        <w:bidi w:val="0"/>
        <w:snapToGrid/>
        <w:spacing w:before="0" w:beforeLines="0" w:after="0" w:afterLines="0" w:line="312" w:lineRule="auto"/>
        <w:ind w:firstLine="420" w:firstLineChars="200"/>
        <w:textAlignment w:val="auto"/>
        <w:rPr>
          <w:rFonts w:hint="eastAsia" w:ascii="宋体" w:hAnsi="宋体" w:eastAsia="宋体" w:cs="宋体"/>
          <w:b w:val="0"/>
          <w:color w:val="auto"/>
          <w:sz w:val="21"/>
          <w:szCs w:val="21"/>
          <w:highlight w:val="none"/>
        </w:rPr>
      </w:pPr>
      <w:bookmarkStart w:id="875" w:name="_Toc1520902222"/>
      <w:bookmarkStart w:id="876" w:name="_Toc385210886"/>
      <w:r>
        <w:rPr>
          <w:rFonts w:hint="eastAsia" w:ascii="宋体" w:hAnsi="宋体" w:eastAsia="宋体" w:cs="宋体"/>
          <w:b w:val="0"/>
          <w:color w:val="auto"/>
          <w:sz w:val="21"/>
          <w:szCs w:val="21"/>
          <w:highlight w:val="none"/>
        </w:rPr>
        <w:t>三、质量标准</w:t>
      </w:r>
      <w:bookmarkEnd w:id="875"/>
      <w:bookmarkEnd w:id="876"/>
    </w:p>
    <w:p>
      <w:pPr>
        <w:pageBreakBefore w:val="0"/>
        <w:widowControl w:val="0"/>
        <w:kinsoku/>
        <w:wordWrap/>
        <w:overflowPunct/>
        <w:topLinePunct w:val="0"/>
        <w:bidi w:val="0"/>
        <w:snapToGrid/>
        <w:spacing w:line="312" w:lineRule="auto"/>
        <w:ind w:firstLine="420" w:firstLineChars="20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工程质量必须达到国家工程施工质量验收</w:t>
      </w:r>
      <w:r>
        <w:rPr>
          <w:rFonts w:hint="eastAsia" w:ascii="宋体" w:hAnsi="宋体" w:eastAsia="宋体" w:cs="宋体"/>
          <w:bCs/>
          <w:color w:val="auto"/>
          <w:sz w:val="21"/>
          <w:szCs w:val="21"/>
          <w:highlight w:val="none"/>
          <w:u w:val="single"/>
        </w:rPr>
        <w:t xml:space="preserve">  合格  </w:t>
      </w:r>
      <w:r>
        <w:rPr>
          <w:rFonts w:hint="eastAsia" w:ascii="宋体" w:hAnsi="宋体" w:eastAsia="宋体" w:cs="宋体"/>
          <w:bCs/>
          <w:color w:val="auto"/>
          <w:sz w:val="21"/>
          <w:szCs w:val="21"/>
          <w:highlight w:val="none"/>
        </w:rPr>
        <w:t>标准</w:t>
      </w:r>
      <w:r>
        <w:rPr>
          <w:rFonts w:hint="eastAsia" w:ascii="宋体" w:hAnsi="宋体" w:cs="宋体"/>
          <w:bCs/>
          <w:color w:val="auto"/>
          <w:sz w:val="21"/>
          <w:szCs w:val="21"/>
          <w:highlight w:val="none"/>
          <w:lang w:eastAsia="zh-CN"/>
        </w:rPr>
        <w:t>。</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园林绿化养护质量符合</w:t>
      </w:r>
      <w:r>
        <w:rPr>
          <w:rFonts w:hint="eastAsia" w:ascii="宋体" w:hAnsi="宋体" w:eastAsia="宋体" w:cs="宋体"/>
          <w:bCs/>
          <w:color w:val="auto"/>
          <w:sz w:val="21"/>
          <w:szCs w:val="21"/>
          <w:highlight w:val="none"/>
        </w:rPr>
        <w:sym w:font="Wingdings" w:char="00A8"/>
      </w:r>
      <w:r>
        <w:rPr>
          <w:rFonts w:hint="eastAsia" w:ascii="宋体" w:hAnsi="宋体" w:eastAsia="宋体" w:cs="宋体"/>
          <w:bCs/>
          <w:color w:val="auto"/>
          <w:sz w:val="21"/>
          <w:szCs w:val="21"/>
          <w:highlight w:val="none"/>
        </w:rPr>
        <w:t>《园林绿化养护标准》（CJJ/T287）或</w:t>
      </w:r>
      <w:r>
        <w:rPr>
          <w:rFonts w:hint="eastAsia" w:ascii="宋体" w:hAnsi="宋体" w:eastAsia="宋体" w:cs="宋体"/>
          <w:bCs/>
          <w:color w:val="auto"/>
          <w:sz w:val="21"/>
          <w:szCs w:val="21"/>
          <w:highlight w:val="none"/>
        </w:rPr>
        <w:sym w:font="Wingdings" w:char="00FE"/>
      </w:r>
      <w:r>
        <w:rPr>
          <w:rFonts w:hint="eastAsia" w:ascii="宋体" w:hAnsi="宋体" w:eastAsia="宋体" w:cs="宋体"/>
          <w:bCs/>
          <w:color w:val="auto"/>
          <w:sz w:val="21"/>
          <w:szCs w:val="21"/>
          <w:highlight w:val="none"/>
        </w:rPr>
        <w:t>（地方标准）中</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二</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级标准。</w:t>
      </w:r>
    </w:p>
    <w:p>
      <w:pPr>
        <w:pStyle w:val="6"/>
        <w:pageBreakBefore w:val="0"/>
        <w:widowControl w:val="0"/>
        <w:kinsoku/>
        <w:wordWrap/>
        <w:overflowPunct/>
        <w:topLinePunct w:val="0"/>
        <w:bidi w:val="0"/>
        <w:snapToGrid/>
        <w:spacing w:before="0" w:beforeLines="0" w:after="0" w:afterLines="0" w:line="312" w:lineRule="auto"/>
        <w:ind w:firstLine="420" w:firstLineChars="200"/>
        <w:textAlignment w:val="auto"/>
        <w:rPr>
          <w:rFonts w:hint="eastAsia" w:ascii="宋体" w:hAnsi="宋体" w:eastAsia="宋体" w:cs="宋体"/>
          <w:b w:val="0"/>
          <w:color w:val="auto"/>
          <w:sz w:val="21"/>
          <w:szCs w:val="21"/>
          <w:highlight w:val="none"/>
        </w:rPr>
      </w:pPr>
      <w:bookmarkStart w:id="877" w:name="_Toc1032760150"/>
      <w:bookmarkStart w:id="878" w:name="_Toc204832942"/>
      <w:r>
        <w:rPr>
          <w:rFonts w:hint="eastAsia" w:ascii="宋体" w:hAnsi="宋体" w:eastAsia="宋体" w:cs="宋体"/>
          <w:b w:val="0"/>
          <w:color w:val="auto"/>
          <w:sz w:val="21"/>
          <w:szCs w:val="21"/>
          <w:highlight w:val="none"/>
        </w:rPr>
        <w:t>四、签约合同价与合同价格形式</w:t>
      </w:r>
      <w:bookmarkEnd w:id="877"/>
      <w:bookmarkEnd w:id="878"/>
      <w:r>
        <w:rPr>
          <w:rFonts w:hint="eastAsia" w:ascii="宋体" w:hAnsi="宋体" w:eastAsia="宋体" w:cs="宋体"/>
          <w:b w:val="0"/>
          <w:color w:val="auto"/>
          <w:sz w:val="21"/>
          <w:szCs w:val="21"/>
          <w:highlight w:val="none"/>
        </w:rPr>
        <w:tab/>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1.签约合同价（不含税）为：</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人民币（大写）</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元)；税率：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含税金额：人民币（大写）</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元)。</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2.合同价格形式：</w:t>
      </w:r>
      <w:r>
        <w:rPr>
          <w:rFonts w:hint="eastAsia" w:ascii="宋体" w:hAnsi="宋体" w:eastAsia="宋体" w:cs="宋体"/>
          <w:bCs/>
          <w:color w:val="auto"/>
          <w:sz w:val="21"/>
          <w:szCs w:val="21"/>
          <w:highlight w:val="none"/>
          <w:u w:val="single"/>
        </w:rPr>
        <w:t xml:space="preserve">        单价合同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20" w:firstLineChars="200"/>
        <w:textAlignment w:val="auto"/>
        <w:outlineLvl w:val="1"/>
        <w:rPr>
          <w:rFonts w:hint="eastAsia" w:ascii="宋体" w:hAnsi="宋体" w:eastAsia="宋体" w:cs="宋体"/>
          <w:bCs/>
          <w:color w:val="auto"/>
          <w:sz w:val="21"/>
          <w:szCs w:val="21"/>
          <w:highlight w:val="none"/>
        </w:rPr>
      </w:pPr>
      <w:bookmarkStart w:id="879" w:name="_Toc578358000"/>
      <w:bookmarkStart w:id="880" w:name="_Toc1266145827"/>
      <w:r>
        <w:rPr>
          <w:rFonts w:hint="eastAsia" w:ascii="宋体" w:hAnsi="宋体" w:eastAsia="宋体" w:cs="宋体"/>
          <w:bCs/>
          <w:color w:val="auto"/>
          <w:sz w:val="21"/>
          <w:szCs w:val="21"/>
          <w:highlight w:val="none"/>
        </w:rPr>
        <w:t>五、承包人项目负责人</w:t>
      </w:r>
      <w:bookmarkEnd w:id="879"/>
      <w:bookmarkEnd w:id="880"/>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姓名：</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；身份证号：</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w:t>
      </w:r>
    </w:p>
    <w:p>
      <w:pPr>
        <w:pageBreakBefore w:val="0"/>
        <w:widowControl w:val="0"/>
        <w:kinsoku/>
        <w:wordWrap/>
        <w:overflowPunct/>
        <w:topLinePunct w:val="0"/>
        <w:bidi w:val="0"/>
        <w:snapToGrid/>
        <w:spacing w:line="312" w:lineRule="auto"/>
        <w:ind w:firstLine="420" w:firstLineChars="200"/>
        <w:textAlignment w:val="auto"/>
        <w:outlineLvl w:val="1"/>
        <w:rPr>
          <w:rFonts w:hint="eastAsia" w:ascii="宋体" w:hAnsi="宋体" w:eastAsia="宋体" w:cs="宋体"/>
          <w:bCs/>
          <w:color w:val="auto"/>
          <w:sz w:val="21"/>
          <w:szCs w:val="21"/>
          <w:highlight w:val="none"/>
        </w:rPr>
      </w:pPr>
      <w:bookmarkStart w:id="881" w:name="_Toc1315372893"/>
      <w:bookmarkStart w:id="882" w:name="_Toc565350378"/>
      <w:r>
        <w:rPr>
          <w:rFonts w:hint="eastAsia" w:ascii="宋体" w:hAnsi="宋体" w:eastAsia="宋体" w:cs="宋体"/>
          <w:bCs/>
          <w:color w:val="auto"/>
          <w:sz w:val="21"/>
          <w:szCs w:val="21"/>
          <w:highlight w:val="none"/>
        </w:rPr>
        <w:t>六、预付款</w:t>
      </w:r>
      <w:bookmarkEnd w:id="881"/>
      <w:bookmarkEnd w:id="882"/>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预付款：发包人在合同签订后，</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rPr>
        <w:t>个工作日内支付合同价的</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rPr>
        <w:t>%作为工程预付款。</w:t>
      </w:r>
    </w:p>
    <w:p>
      <w:pPr>
        <w:pageBreakBefore w:val="0"/>
        <w:widowControl w:val="0"/>
        <w:kinsoku/>
        <w:wordWrap/>
        <w:overflowPunct/>
        <w:topLinePunct w:val="0"/>
        <w:bidi w:val="0"/>
        <w:snapToGrid/>
        <w:spacing w:line="312" w:lineRule="auto"/>
        <w:ind w:firstLine="420" w:firstLineChars="200"/>
        <w:jc w:val="left"/>
        <w:textAlignment w:val="auto"/>
        <w:outlineLvl w:val="1"/>
        <w:rPr>
          <w:rFonts w:hint="eastAsia" w:ascii="宋体" w:hAnsi="宋体" w:eastAsia="宋体" w:cs="宋体"/>
          <w:bCs/>
          <w:color w:val="auto"/>
          <w:sz w:val="21"/>
          <w:szCs w:val="21"/>
          <w:highlight w:val="none"/>
        </w:rPr>
      </w:pPr>
      <w:bookmarkStart w:id="883" w:name="_Toc1430992058"/>
      <w:bookmarkStart w:id="884" w:name="_Toc1555190768"/>
      <w:r>
        <w:rPr>
          <w:rFonts w:hint="eastAsia" w:ascii="宋体" w:hAnsi="宋体" w:eastAsia="宋体" w:cs="宋体"/>
          <w:bCs/>
          <w:color w:val="auto"/>
          <w:sz w:val="21"/>
          <w:szCs w:val="21"/>
          <w:highlight w:val="none"/>
        </w:rPr>
        <w:t>七、绿化种植及养护要求</w:t>
      </w:r>
      <w:bookmarkEnd w:id="883"/>
      <w:bookmarkEnd w:id="884"/>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1.在施工过程及绿化养护期内植物死亡，须按原设计品种和规格更换，更换费用由承包人承担。</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2.竣工验收时苗木成活率约定（乔木、灌木、地被、草坪等）：</w:t>
      </w:r>
      <w:r>
        <w:rPr>
          <w:rFonts w:hint="eastAsia" w:ascii="宋体" w:hAnsi="宋体" w:eastAsia="宋体" w:cs="宋体"/>
          <w:bCs/>
          <w:color w:val="auto"/>
          <w:sz w:val="21"/>
          <w:szCs w:val="21"/>
          <w:highlight w:val="none"/>
          <w:u w:val="single"/>
        </w:rPr>
        <w:t xml:space="preserve"> 100%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3.养护期满移交时苗木成活率约定（乔木、灌木、地被、草坪等）：</w:t>
      </w:r>
      <w:r>
        <w:rPr>
          <w:rFonts w:hint="eastAsia" w:ascii="宋体" w:hAnsi="宋体" w:eastAsia="宋体" w:cs="宋体"/>
          <w:bCs/>
          <w:color w:val="auto"/>
          <w:sz w:val="21"/>
          <w:szCs w:val="21"/>
          <w:highlight w:val="none"/>
          <w:u w:val="single"/>
        </w:rPr>
        <w:t xml:space="preserve">100% </w:t>
      </w:r>
      <w:r>
        <w:rPr>
          <w:rFonts w:hint="eastAsia" w:ascii="宋体" w:hAnsi="宋体" w:eastAsia="宋体" w:cs="宋体"/>
          <w:bCs/>
          <w:color w:val="auto"/>
          <w:sz w:val="21"/>
          <w:szCs w:val="21"/>
          <w:highlight w:val="none"/>
        </w:rPr>
        <w:t>。</w:t>
      </w:r>
    </w:p>
    <w:p>
      <w:pPr>
        <w:pageBreakBefore w:val="0"/>
        <w:widowControl w:val="0"/>
        <w:kinsoku/>
        <w:wordWrap/>
        <w:overflowPunct/>
        <w:topLinePunct w:val="0"/>
        <w:bidi w:val="0"/>
        <w:snapToGrid/>
        <w:spacing w:line="312" w:lineRule="auto"/>
        <w:ind w:firstLine="420" w:firstLineChars="200"/>
        <w:jc w:val="left"/>
        <w:textAlignment w:val="auto"/>
        <w:outlineLvl w:val="1"/>
        <w:rPr>
          <w:rFonts w:hint="eastAsia" w:ascii="宋体" w:hAnsi="宋体" w:eastAsia="宋体" w:cs="宋体"/>
          <w:bCs/>
          <w:color w:val="auto"/>
          <w:sz w:val="21"/>
          <w:szCs w:val="21"/>
          <w:highlight w:val="none"/>
          <w:u w:val="single"/>
        </w:rPr>
      </w:pPr>
      <w:bookmarkStart w:id="885" w:name="_Toc1430684837"/>
      <w:bookmarkStart w:id="886" w:name="_Toc367134989"/>
      <w:r>
        <w:rPr>
          <w:rFonts w:hint="eastAsia" w:ascii="宋体" w:hAnsi="宋体" w:eastAsia="宋体" w:cs="宋体"/>
          <w:bCs/>
          <w:color w:val="auto"/>
          <w:sz w:val="21"/>
          <w:szCs w:val="21"/>
          <w:highlight w:val="none"/>
        </w:rPr>
        <w:t>八、其他要求：</w:t>
      </w:r>
      <w:bookmarkEnd w:id="885"/>
      <w:bookmarkEnd w:id="886"/>
      <w:r>
        <w:rPr>
          <w:rFonts w:hint="eastAsia" w:ascii="宋体" w:hAnsi="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p>
    <w:p>
      <w:pPr>
        <w:pageBreakBefore w:val="0"/>
        <w:widowControl w:val="0"/>
        <w:kinsoku/>
        <w:wordWrap/>
        <w:overflowPunct/>
        <w:topLinePunct w:val="0"/>
        <w:bidi w:val="0"/>
        <w:snapToGrid/>
        <w:spacing w:line="312" w:lineRule="auto"/>
        <w:ind w:firstLine="420" w:firstLineChars="200"/>
        <w:jc w:val="left"/>
        <w:textAlignment w:val="auto"/>
        <w:outlineLvl w:val="1"/>
        <w:rPr>
          <w:rFonts w:hint="eastAsia" w:ascii="宋体" w:hAnsi="宋体" w:eastAsia="宋体" w:cs="宋体"/>
          <w:bCs/>
          <w:color w:val="auto"/>
          <w:sz w:val="21"/>
          <w:szCs w:val="21"/>
          <w:highlight w:val="none"/>
        </w:rPr>
      </w:pPr>
      <w:bookmarkStart w:id="887" w:name="_Toc1318737122"/>
      <w:bookmarkStart w:id="888" w:name="_Toc184090255"/>
      <w:r>
        <w:rPr>
          <w:rFonts w:hint="eastAsia" w:ascii="宋体" w:hAnsi="宋体" w:eastAsia="宋体" w:cs="宋体"/>
          <w:bCs/>
          <w:color w:val="auto"/>
          <w:sz w:val="21"/>
          <w:szCs w:val="21"/>
          <w:highlight w:val="none"/>
        </w:rPr>
        <w:t>九、合同文件构成</w:t>
      </w:r>
      <w:bookmarkEnd w:id="887"/>
      <w:bookmarkEnd w:id="888"/>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本协议书与下列文件一起构成合同文件：</w:t>
      </w:r>
    </w:p>
    <w:p>
      <w:pPr>
        <w:pageBreakBefore w:val="0"/>
        <w:widowControl w:val="0"/>
        <w:kinsoku/>
        <w:wordWrap/>
        <w:overflowPunct/>
        <w:topLinePunct w:val="0"/>
        <w:autoSpaceDE w:val="0"/>
        <w:autoSpaceDN w:val="0"/>
        <w:bidi w:val="0"/>
        <w:adjustRightInd w:val="0"/>
        <w:snapToGrid/>
        <w:spacing w:line="312" w:lineRule="auto"/>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（1）中标通知书；（2）投标函及其附录；（3）专用合同条款及其附件；（4）通用合同条款；（5）技术标准和要求；（6）图纸；（7）已标价工程量清单或预算书；（8）其他合同文件。</w:t>
      </w:r>
    </w:p>
    <w:p>
      <w:pPr>
        <w:pageBreakBefore w:val="0"/>
        <w:widowControl w:val="0"/>
        <w:kinsoku/>
        <w:wordWrap/>
        <w:overflowPunct/>
        <w:topLinePunct w:val="0"/>
        <w:autoSpaceDE w:val="0"/>
        <w:autoSpaceDN w:val="0"/>
        <w:bidi w:val="0"/>
        <w:adjustRightInd w:val="0"/>
        <w:snapToGrid/>
        <w:spacing w:line="312"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在合同订立及履行过程中形成的与合同有关的文件均构成合同文件组成部分。若招标文件与合同不符时，以招标文件为准，若合同专用条款与通用条款不符时，以专用条款为准，补充条款优先于专用条款。</w:t>
      </w:r>
    </w:p>
    <w:p>
      <w:pPr>
        <w:pageBreakBefore w:val="0"/>
        <w:widowControl w:val="0"/>
        <w:kinsoku/>
        <w:wordWrap/>
        <w:overflowPunct/>
        <w:topLinePunct w:val="0"/>
        <w:autoSpaceDE w:val="0"/>
        <w:autoSpaceDN w:val="0"/>
        <w:bidi w:val="0"/>
        <w:adjustRightInd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pPr>
        <w:pageBreakBefore w:val="0"/>
        <w:widowControl w:val="0"/>
        <w:kinsoku/>
        <w:wordWrap/>
        <w:overflowPunct/>
        <w:topLinePunct w:val="0"/>
        <w:bidi w:val="0"/>
        <w:snapToGrid/>
        <w:spacing w:line="312" w:lineRule="auto"/>
        <w:ind w:firstLine="420" w:firstLineChars="200"/>
        <w:jc w:val="left"/>
        <w:textAlignment w:val="auto"/>
        <w:outlineLvl w:val="1"/>
        <w:rPr>
          <w:rFonts w:hint="eastAsia" w:ascii="宋体" w:hAnsi="宋体" w:eastAsia="宋体" w:cs="宋体"/>
          <w:bCs/>
          <w:color w:val="auto"/>
          <w:sz w:val="21"/>
          <w:szCs w:val="21"/>
          <w:highlight w:val="none"/>
        </w:rPr>
      </w:pPr>
      <w:bookmarkStart w:id="889" w:name="_Toc1718441829"/>
      <w:bookmarkStart w:id="890" w:name="_Toc410640064"/>
      <w:r>
        <w:rPr>
          <w:rFonts w:hint="eastAsia" w:ascii="宋体" w:hAnsi="宋体" w:eastAsia="宋体" w:cs="宋体"/>
          <w:bCs/>
          <w:color w:val="auto"/>
          <w:sz w:val="21"/>
          <w:szCs w:val="21"/>
          <w:highlight w:val="none"/>
        </w:rPr>
        <w:t>十、承诺</w:t>
      </w:r>
      <w:bookmarkEnd w:id="889"/>
      <w:bookmarkEnd w:id="890"/>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发包人和承包人通过招投标形式签订合同的，双方理解并承诺不再就同一工程另行签订与合同实质性内容相背离的协议。</w:t>
      </w:r>
    </w:p>
    <w:p>
      <w:pPr>
        <w:pageBreakBefore w:val="0"/>
        <w:widowControl w:val="0"/>
        <w:kinsoku/>
        <w:wordWrap/>
        <w:overflowPunct/>
        <w:topLinePunct w:val="0"/>
        <w:bidi w:val="0"/>
        <w:snapToGrid/>
        <w:spacing w:line="312" w:lineRule="auto"/>
        <w:textAlignment w:val="auto"/>
        <w:outlineLvl w:val="1"/>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bookmarkStart w:id="891" w:name="_Toc1209713496"/>
      <w:bookmarkStart w:id="892" w:name="_Toc1094819545"/>
      <w:r>
        <w:rPr>
          <w:rFonts w:hint="eastAsia" w:ascii="宋体" w:hAnsi="宋体" w:eastAsia="宋体" w:cs="宋体"/>
          <w:bCs/>
          <w:color w:val="auto"/>
          <w:sz w:val="21"/>
          <w:szCs w:val="21"/>
          <w:highlight w:val="none"/>
        </w:rPr>
        <w:t>十一、词语含义</w:t>
      </w:r>
      <w:bookmarkEnd w:id="891"/>
      <w:bookmarkEnd w:id="892"/>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本协议书中词语含义与通用合同条款、专用合同条款中赋予的含义相同。</w:t>
      </w:r>
    </w:p>
    <w:p>
      <w:pPr>
        <w:pStyle w:val="6"/>
        <w:pageBreakBefore w:val="0"/>
        <w:widowControl w:val="0"/>
        <w:kinsoku/>
        <w:wordWrap/>
        <w:overflowPunct/>
        <w:topLinePunct w:val="0"/>
        <w:bidi w:val="0"/>
        <w:snapToGrid/>
        <w:spacing w:before="0" w:beforeLines="0" w:after="0" w:afterLines="0" w:line="312"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w:t>
      </w:r>
      <w:bookmarkStart w:id="893" w:name="_Toc1302915076"/>
      <w:bookmarkStart w:id="894" w:name="_Toc1843922025"/>
      <w:r>
        <w:rPr>
          <w:rFonts w:hint="eastAsia" w:ascii="宋体" w:hAnsi="宋体" w:eastAsia="宋体" w:cs="宋体"/>
          <w:b w:val="0"/>
          <w:color w:val="auto"/>
          <w:sz w:val="21"/>
          <w:szCs w:val="21"/>
          <w:highlight w:val="none"/>
        </w:rPr>
        <w:t>十二、签订时间</w:t>
      </w:r>
      <w:bookmarkEnd w:id="893"/>
      <w:bookmarkEnd w:id="894"/>
    </w:p>
    <w:p>
      <w:pPr>
        <w:keepLines/>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本合同于</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日签订。</w:t>
      </w:r>
    </w:p>
    <w:p>
      <w:pPr>
        <w:pStyle w:val="6"/>
        <w:pageBreakBefore w:val="0"/>
        <w:widowControl w:val="0"/>
        <w:kinsoku/>
        <w:wordWrap/>
        <w:overflowPunct/>
        <w:topLinePunct w:val="0"/>
        <w:bidi w:val="0"/>
        <w:snapToGrid/>
        <w:spacing w:before="0" w:beforeLines="0" w:after="0" w:afterLines="0" w:line="312"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w:t>
      </w:r>
      <w:bookmarkStart w:id="895" w:name="_Toc251726425"/>
      <w:bookmarkStart w:id="896" w:name="_Toc441671965"/>
      <w:r>
        <w:rPr>
          <w:rFonts w:hint="eastAsia" w:ascii="宋体" w:hAnsi="宋体" w:eastAsia="宋体" w:cs="宋体"/>
          <w:b w:val="0"/>
          <w:color w:val="auto"/>
          <w:sz w:val="21"/>
          <w:szCs w:val="21"/>
          <w:highlight w:val="none"/>
        </w:rPr>
        <w:t>十三、签订地点</w:t>
      </w:r>
      <w:bookmarkEnd w:id="895"/>
      <w:bookmarkEnd w:id="896"/>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本合同在</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签订。</w:t>
      </w:r>
    </w:p>
    <w:p>
      <w:pPr>
        <w:pStyle w:val="6"/>
        <w:pageBreakBefore w:val="0"/>
        <w:widowControl w:val="0"/>
        <w:kinsoku/>
        <w:wordWrap/>
        <w:overflowPunct/>
        <w:topLinePunct w:val="0"/>
        <w:bidi w:val="0"/>
        <w:snapToGrid/>
        <w:spacing w:before="0" w:beforeLines="0" w:after="0" w:afterLines="0" w:line="312"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w:t>
      </w:r>
      <w:bookmarkStart w:id="897" w:name="_Toc1799890158"/>
      <w:bookmarkStart w:id="898" w:name="_Toc1858176615"/>
      <w:r>
        <w:rPr>
          <w:rFonts w:hint="eastAsia" w:ascii="宋体" w:hAnsi="宋体" w:eastAsia="宋体" w:cs="宋体"/>
          <w:b w:val="0"/>
          <w:color w:val="auto"/>
          <w:sz w:val="21"/>
          <w:szCs w:val="21"/>
          <w:highlight w:val="none"/>
        </w:rPr>
        <w:t>十四、补充协议</w:t>
      </w:r>
      <w:bookmarkEnd w:id="897"/>
      <w:bookmarkEnd w:id="898"/>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合同未尽事宜，合同当事人另行签订补充协议，补充协议是合同的组成部分。</w:t>
      </w:r>
    </w:p>
    <w:p>
      <w:pPr>
        <w:pStyle w:val="6"/>
        <w:pageBreakBefore w:val="0"/>
        <w:widowControl w:val="0"/>
        <w:kinsoku/>
        <w:wordWrap/>
        <w:overflowPunct/>
        <w:topLinePunct w:val="0"/>
        <w:bidi w:val="0"/>
        <w:snapToGrid/>
        <w:spacing w:before="0" w:beforeLines="0" w:after="0" w:afterLines="0" w:line="312"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w:t>
      </w:r>
      <w:bookmarkStart w:id="899" w:name="_Toc1600665821"/>
      <w:bookmarkStart w:id="900" w:name="_Toc111240637"/>
      <w:r>
        <w:rPr>
          <w:rFonts w:hint="eastAsia" w:ascii="宋体" w:hAnsi="宋体" w:eastAsia="宋体" w:cs="宋体"/>
          <w:b w:val="0"/>
          <w:color w:val="auto"/>
          <w:sz w:val="21"/>
          <w:szCs w:val="21"/>
          <w:highlight w:val="none"/>
        </w:rPr>
        <w:t>十五、合同生效</w:t>
      </w:r>
      <w:bookmarkEnd w:id="899"/>
      <w:bookmarkEnd w:id="900"/>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本合同自</w:t>
      </w:r>
      <w:r>
        <w:rPr>
          <w:rFonts w:hint="eastAsia" w:ascii="宋体" w:hAnsi="宋体" w:eastAsia="宋体" w:cs="宋体"/>
          <w:bCs/>
          <w:color w:val="auto"/>
          <w:sz w:val="21"/>
          <w:szCs w:val="21"/>
          <w:highlight w:val="none"/>
          <w:u w:val="single"/>
        </w:rPr>
        <w:t xml:space="preserve">    双方签字盖章后    </w:t>
      </w:r>
      <w:r>
        <w:rPr>
          <w:rFonts w:hint="eastAsia" w:ascii="宋体" w:hAnsi="宋体" w:eastAsia="宋体" w:cs="宋体"/>
          <w:bCs/>
          <w:color w:val="auto"/>
          <w:sz w:val="21"/>
          <w:szCs w:val="21"/>
          <w:highlight w:val="none"/>
        </w:rPr>
        <w:t>生效。</w:t>
      </w:r>
    </w:p>
    <w:p>
      <w:pPr>
        <w:pStyle w:val="6"/>
        <w:pageBreakBefore w:val="0"/>
        <w:widowControl w:val="0"/>
        <w:kinsoku/>
        <w:wordWrap/>
        <w:overflowPunct/>
        <w:topLinePunct w:val="0"/>
        <w:bidi w:val="0"/>
        <w:snapToGrid/>
        <w:spacing w:before="0" w:beforeLines="0" w:after="0" w:afterLines="0" w:line="312"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w:t>
      </w:r>
      <w:bookmarkStart w:id="901" w:name="_Toc118154563"/>
      <w:bookmarkStart w:id="902" w:name="_Toc273056816"/>
      <w:r>
        <w:rPr>
          <w:rFonts w:hint="eastAsia" w:ascii="宋体" w:hAnsi="宋体" w:eastAsia="宋体" w:cs="宋体"/>
          <w:b w:val="0"/>
          <w:color w:val="auto"/>
          <w:sz w:val="21"/>
          <w:szCs w:val="21"/>
          <w:highlight w:val="none"/>
        </w:rPr>
        <w:t>十六、合同份数</w:t>
      </w:r>
      <w:bookmarkEnd w:id="901"/>
      <w:bookmarkEnd w:id="902"/>
    </w:p>
    <w:p>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本合同一式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捌</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w:t>
      </w:r>
      <w:r>
        <w:rPr>
          <w:rFonts w:hint="eastAsia" w:ascii="宋体" w:hAnsi="宋体" w:eastAsia="宋体" w:cs="宋体"/>
          <w:bCs/>
          <w:color w:val="auto"/>
          <w:sz w:val="21"/>
          <w:szCs w:val="21"/>
          <w:highlight w:val="none"/>
          <w:lang w:val="en-US" w:eastAsia="zh-CN"/>
        </w:rPr>
        <w:t>正本</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副本</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陆</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均具有同等法律效力，发包人执</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肆</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份，承包人执</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肆</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w:t>
      </w:r>
    </w:p>
    <w:p>
      <w:pPr>
        <w:pStyle w:val="2"/>
        <w:pageBreakBefore w:val="0"/>
        <w:widowControl w:val="0"/>
        <w:kinsoku/>
        <w:wordWrap/>
        <w:overflowPunct/>
        <w:topLinePunct w:val="0"/>
        <w:bidi w:val="0"/>
        <w:snapToGrid/>
        <w:spacing w:after="0" w:afterLines="0" w:line="312" w:lineRule="auto"/>
        <w:textAlignment w:val="auto"/>
        <w:rPr>
          <w:rFonts w:hint="eastAsia" w:ascii="宋体" w:hAnsi="宋体" w:eastAsia="宋体" w:cs="宋体"/>
          <w:color w:val="auto"/>
          <w:sz w:val="21"/>
          <w:szCs w:val="21"/>
        </w:rPr>
      </w:pP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发包人：  (公章)                      承包人：  (公章)</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u w:val="single"/>
        </w:rPr>
      </w:pPr>
      <w:r>
        <w:rPr>
          <w:rFonts w:hint="eastAsia" w:ascii="宋体" w:hAnsi="宋体" w:eastAsia="宋体" w:cs="宋体"/>
          <w:color w:val="auto"/>
          <w:szCs w:val="21"/>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法定代表人或其委托代理人：            法定代表人或其委托代理人：</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（签字）                             （签字）</w:t>
      </w:r>
    </w:p>
    <w:p>
      <w:pPr>
        <w:pageBreakBefore w:val="0"/>
        <w:kinsoku/>
        <w:wordWrap/>
        <w:overflowPunct/>
        <w:topLinePunct w:val="0"/>
        <w:bidi w:val="0"/>
        <w:spacing w:line="312"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p>
    <w:p>
      <w:pPr>
        <w:pageBreakBefore w:val="0"/>
        <w:widowControl w:val="0"/>
        <w:tabs>
          <w:tab w:val="left" w:pos="4410"/>
        </w:tabs>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bookmarkStart w:id="903" w:name="_Toc725136582"/>
      <w:bookmarkStart w:id="904" w:name="_Toc24906"/>
      <w:bookmarkStart w:id="905" w:name="_Toc1772115747"/>
      <w:bookmarkStart w:id="906" w:name="_Toc1081549402"/>
      <w:bookmarkStart w:id="907" w:name="_Toc4682"/>
      <w:bookmarkStart w:id="908" w:name="_Toc12223"/>
      <w:bookmarkStart w:id="909" w:name="_Toc10868"/>
      <w:bookmarkStart w:id="910" w:name="_Toc26547"/>
      <w:bookmarkStart w:id="911" w:name="_Toc16153"/>
      <w:r>
        <w:rPr>
          <w:rFonts w:hint="eastAsia" w:ascii="宋体" w:hAnsi="宋体" w:eastAsia="宋体" w:cs="宋体"/>
          <w:color w:val="auto"/>
          <w:szCs w:val="21"/>
        </w:rPr>
        <w:t>社会统一信用代码：</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社会统一信用代码：</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地  址：</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地  址：</w:t>
      </w:r>
      <w:r>
        <w:rPr>
          <w:rFonts w:hint="eastAsia" w:ascii="宋体" w:hAnsi="宋体" w:eastAsia="宋体" w:cs="宋体"/>
          <w:color w:val="auto"/>
          <w:szCs w:val="21"/>
          <w:u w:val="single"/>
        </w:rPr>
        <w:t xml:space="preserve">            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u w:val="none"/>
        </w:rPr>
      </w:pPr>
      <w:r>
        <w:rPr>
          <w:rFonts w:hint="eastAsia" w:ascii="宋体" w:hAnsi="宋体" w:eastAsia="宋体" w:cs="宋体"/>
          <w:color w:val="auto"/>
          <w:szCs w:val="21"/>
        </w:rPr>
        <w:t>邮政编码：</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 xml:space="preserve">            邮政编码：</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none"/>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 xml:space="preserve">           法定代表人：</w:t>
      </w:r>
      <w:r>
        <w:rPr>
          <w:rFonts w:hint="eastAsia" w:ascii="宋体" w:hAnsi="宋体" w:eastAsia="宋体" w:cs="宋体"/>
          <w:color w:val="auto"/>
          <w:szCs w:val="21"/>
          <w:u w:val="single"/>
        </w:rPr>
        <w:t>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委托代理人：</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电  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电  话：</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传  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传  真：</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电子信箱：</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电子信箱：</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开户银行：</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开户银行：</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pageBreakBefore w:val="0"/>
        <w:widowControl w:val="0"/>
        <w:kinsoku/>
        <w:wordWrap/>
        <w:overflowPunct/>
        <w:topLinePunct w:val="0"/>
        <w:bidi w:val="0"/>
        <w:spacing w:line="400" w:lineRule="exact"/>
        <w:ind w:firstLine="420" w:firstLineChars="200"/>
        <w:jc w:val="left"/>
        <w:textAlignment w:val="auto"/>
        <w:rPr>
          <w:rFonts w:hint="eastAsia" w:ascii="宋体" w:cs="宋体"/>
          <w:color w:val="auto"/>
          <w:szCs w:val="21"/>
          <w:u w:val="single"/>
        </w:rPr>
      </w:pPr>
      <w:r>
        <w:rPr>
          <w:rFonts w:hint="eastAsia" w:ascii="宋体" w:hAnsi="宋体" w:eastAsia="宋体" w:cs="宋体"/>
          <w:color w:val="auto"/>
          <w:szCs w:val="21"/>
        </w:rPr>
        <w:t>账  号：</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 xml:space="preserve">           账  号：</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pStyle w:val="5"/>
        <w:spacing w:before="260" w:after="260" w:line="360" w:lineRule="auto"/>
        <w:jc w:val="center"/>
        <w:rPr>
          <w:rFonts w:hint="eastAsia" w:ascii="黑体" w:hAnsi="黑体" w:eastAsia="黑体" w:cs="黑体"/>
          <w:b w:val="0"/>
          <w:color w:val="auto"/>
          <w:highlight w:val="none"/>
        </w:rPr>
      </w:pPr>
      <w:r>
        <w:rPr>
          <w:rFonts w:hint="eastAsia" w:ascii="黑体" w:hAnsi="黑体" w:eastAsia="黑体" w:cs="黑体"/>
          <w:b w:val="0"/>
          <w:color w:val="auto"/>
          <w:highlight w:val="none"/>
        </w:rPr>
        <w:br w:type="page"/>
      </w:r>
      <w:r>
        <w:rPr>
          <w:rFonts w:hint="eastAsia" w:ascii="黑体" w:hAnsi="黑体" w:eastAsia="黑体" w:cs="黑体"/>
          <w:b w:val="0"/>
          <w:color w:val="auto"/>
          <w:highlight w:val="none"/>
        </w:rPr>
        <w:t>第二部分 通用合同条款</w:t>
      </w:r>
      <w:bookmarkEnd w:id="903"/>
      <w:bookmarkEnd w:id="904"/>
      <w:bookmarkEnd w:id="905"/>
      <w:bookmarkEnd w:id="906"/>
      <w:bookmarkEnd w:id="907"/>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通用合同条款共计20条，采用《建设工程施工合同（示范文本）》（GF-2017-0201）的“通用合同条款”。</w:t>
      </w:r>
    </w:p>
    <w:bookmarkEnd w:id="908"/>
    <w:bookmarkEnd w:id="909"/>
    <w:bookmarkEnd w:id="910"/>
    <w:bookmarkEnd w:id="911"/>
    <w:p>
      <w:pPr>
        <w:pStyle w:val="5"/>
        <w:spacing w:before="260" w:after="260" w:line="360" w:lineRule="auto"/>
        <w:jc w:val="center"/>
        <w:rPr>
          <w:rFonts w:hint="eastAsia" w:ascii="黑体" w:hAnsi="黑体" w:eastAsia="黑体" w:cs="黑体"/>
          <w:b w:val="0"/>
          <w:color w:val="auto"/>
          <w:highlight w:val="none"/>
        </w:rPr>
      </w:pPr>
      <w:bookmarkStart w:id="912" w:name="_Toc26823"/>
      <w:bookmarkStart w:id="913" w:name="_Toc538026417"/>
      <w:bookmarkStart w:id="914" w:name="_Toc21277"/>
      <w:bookmarkStart w:id="915" w:name="_Toc24563"/>
      <w:bookmarkStart w:id="916" w:name="_Toc1254421522"/>
      <w:bookmarkStart w:id="917" w:name="_Toc1439523315"/>
      <w:bookmarkStart w:id="918" w:name="_Toc25120"/>
      <w:bookmarkStart w:id="919" w:name="_Toc20668"/>
      <w:bookmarkStart w:id="920" w:name="_Toc13192"/>
      <w:r>
        <w:rPr>
          <w:rFonts w:hint="eastAsia" w:ascii="黑体" w:hAnsi="黑体" w:eastAsia="黑体" w:cs="黑体"/>
          <w:b w:val="0"/>
          <w:color w:val="auto"/>
          <w:highlight w:val="none"/>
        </w:rPr>
        <w:t>第三部分 专用合同条款</w:t>
      </w:r>
      <w:bookmarkEnd w:id="912"/>
      <w:bookmarkEnd w:id="913"/>
      <w:bookmarkEnd w:id="914"/>
      <w:bookmarkEnd w:id="915"/>
      <w:bookmarkEnd w:id="916"/>
      <w:bookmarkEnd w:id="917"/>
      <w:bookmarkEnd w:id="918"/>
      <w:bookmarkEnd w:id="919"/>
      <w:bookmarkEnd w:id="920"/>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921" w:name="_Toc1742251250"/>
      <w:bookmarkStart w:id="922" w:name="_Toc1281606529"/>
      <w:r>
        <w:rPr>
          <w:rFonts w:hint="eastAsia" w:ascii="宋体" w:hAnsi="宋体" w:eastAsia="宋体" w:cs="宋体"/>
          <w:b w:val="0"/>
          <w:color w:val="auto"/>
          <w:sz w:val="21"/>
          <w:szCs w:val="21"/>
          <w:highlight w:val="none"/>
        </w:rPr>
        <w:t>1. 一般约定</w:t>
      </w:r>
      <w:bookmarkEnd w:id="921"/>
      <w:bookmarkEnd w:id="922"/>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23" w:name="_Toc276302670"/>
      <w:bookmarkStart w:id="924" w:name="_Toc1772939203"/>
      <w:bookmarkStart w:id="925" w:name="_Toc28755"/>
      <w:r>
        <w:rPr>
          <w:rFonts w:hint="eastAsia" w:ascii="宋体" w:hAnsi="宋体" w:eastAsia="宋体" w:cs="宋体"/>
          <w:color w:val="auto"/>
          <w:sz w:val="21"/>
          <w:szCs w:val="21"/>
          <w:highlight w:val="none"/>
        </w:rPr>
        <w:t>1.1 词语定义</w:t>
      </w:r>
      <w:bookmarkEnd w:id="923"/>
      <w:bookmarkEnd w:id="924"/>
      <w:bookmarkEnd w:id="925"/>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1.1.1合同</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1.1.1.10 其他合同文件包括：</w:t>
      </w:r>
      <w:r>
        <w:rPr>
          <w:rFonts w:hint="eastAsia" w:ascii="宋体" w:hAnsi="宋体" w:eastAsia="宋体" w:cs="宋体"/>
          <w:color w:val="auto"/>
          <w:sz w:val="21"/>
          <w:szCs w:val="21"/>
          <w:highlight w:val="none"/>
          <w:u w:val="single"/>
        </w:rPr>
        <w:t xml:space="preserve">   本项目招标文件、</w:t>
      </w:r>
      <w:r>
        <w:rPr>
          <w:rFonts w:hint="eastAsia" w:ascii="宋体" w:hAnsi="宋体" w:cs="宋体"/>
          <w:color w:val="auto"/>
          <w:sz w:val="21"/>
          <w:szCs w:val="21"/>
          <w:highlight w:val="none"/>
          <w:u w:val="single"/>
          <w:lang w:val="en-US" w:eastAsia="zh-CN"/>
        </w:rPr>
        <w:t>图纸、</w:t>
      </w:r>
      <w:r>
        <w:rPr>
          <w:rFonts w:hint="eastAsia" w:ascii="宋体" w:hAnsi="宋体" w:eastAsia="宋体" w:cs="宋体"/>
          <w:color w:val="auto"/>
          <w:sz w:val="21"/>
          <w:szCs w:val="21"/>
          <w:highlight w:val="none"/>
          <w:u w:val="single"/>
        </w:rPr>
        <w:t xml:space="preserve">在合同订立及履行过程中形成的与合同有关的文件均构成合同文件组成部分。                                                                                 </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合同当事人及其他相关方</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 监理人和总监理工程师：</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资质类别和等级：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总监理工程师姓名：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总监理工程师执业资格证书号：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1.1.2.5 设计人和设计项目负责人： </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资质类别和等级：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工程和设备</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1.1.3.7 作为施工现场组成部分的其他场所包括：</w:t>
      </w:r>
      <w:r>
        <w:rPr>
          <w:rFonts w:hint="eastAsia" w:ascii="宋体" w:hAnsi="宋体" w:eastAsia="宋体" w:cs="宋体"/>
          <w:color w:val="auto"/>
          <w:sz w:val="21"/>
          <w:szCs w:val="21"/>
          <w:highlight w:val="none"/>
          <w:u w:val="single"/>
        </w:rPr>
        <w:t xml:space="preserve">  见施工图纸并现场确定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1.1.3.9 永久占地包括：</w:t>
      </w:r>
      <w:r>
        <w:rPr>
          <w:rFonts w:hint="eastAsia" w:ascii="宋体" w:hAnsi="宋体" w:eastAsia="宋体" w:cs="宋体"/>
          <w:color w:val="auto"/>
          <w:sz w:val="21"/>
          <w:szCs w:val="21"/>
          <w:highlight w:val="none"/>
          <w:u w:val="single"/>
        </w:rPr>
        <w:t xml:space="preserve">      见施工图纸并现场确定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1.1.3.10 临时占地包括：</w:t>
      </w:r>
      <w:r>
        <w:rPr>
          <w:rFonts w:hint="eastAsia" w:ascii="宋体" w:hAnsi="宋体" w:eastAsia="宋体" w:cs="宋体"/>
          <w:color w:val="auto"/>
          <w:sz w:val="21"/>
          <w:szCs w:val="21"/>
          <w:highlight w:val="none"/>
          <w:u w:val="single"/>
        </w:rPr>
        <w:t xml:space="preserve">     见施工图纸并现场确定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1.1.3.11 园林绿化工程：是指新建、改建、扩建公园绿地、防护绿地、广场用地、附属绿地、区域绿地，以及对城市生态和景观影响较大建设项目的配套绿化，主要包括园林绿化植物栽植、地形整理、园林设施设备安装及园林建筑、小品、花坛、园路、水系、喷泉、假山、雕塑、绿地广场、驳岸、园林景观桥梁等。</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1.1.3.12 绿化工程：是指树木、花卉、草坪、地被植物等的种植工程。</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1.1.3.13 绿化养护：</w:t>
      </w:r>
      <w:r>
        <w:rPr>
          <w:rFonts w:hint="eastAsia" w:ascii="宋体" w:hAnsi="宋体" w:eastAsia="宋体" w:cs="宋体"/>
          <w:color w:val="auto"/>
          <w:sz w:val="21"/>
          <w:szCs w:val="21"/>
          <w:highlight w:val="none"/>
        </w:rPr>
        <w:t>是指对绿地内植物采取的整形修剪、松土除草、灌溉与排水、施肥、有害生物防治、改植与补植、绿地防护（如防台风、防寒）等技术措施。</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1.1.4 </w:t>
      </w:r>
      <w:r>
        <w:rPr>
          <w:rFonts w:hint="eastAsia" w:ascii="宋体" w:hAnsi="宋体" w:eastAsia="宋体" w:cs="宋体"/>
          <w:color w:val="auto"/>
          <w:sz w:val="21"/>
          <w:szCs w:val="21"/>
          <w:highlight w:val="none"/>
        </w:rPr>
        <w:t>日期和期限</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color w:val="auto"/>
          <w:kern w:val="0"/>
          <w:sz w:val="21"/>
          <w:szCs w:val="21"/>
          <w:highlight w:val="none"/>
        </w:rPr>
        <w:t>1.1.4.8</w:t>
      </w:r>
      <w:r>
        <w:rPr>
          <w:rFonts w:hint="eastAsia" w:ascii="宋体" w:hAnsi="宋体" w:eastAsia="宋体" w:cs="宋体"/>
          <w:bCs/>
          <w:color w:val="auto"/>
          <w:kern w:val="0"/>
          <w:sz w:val="21"/>
          <w:szCs w:val="21"/>
          <w:highlight w:val="none"/>
        </w:rPr>
        <w:t xml:space="preserve"> </w:t>
      </w:r>
      <w:r>
        <w:rPr>
          <w:rFonts w:hint="eastAsia" w:ascii="宋体" w:hAnsi="宋体" w:eastAsia="宋体" w:cs="宋体"/>
          <w:color w:val="auto"/>
          <w:kern w:val="0"/>
          <w:sz w:val="21"/>
          <w:szCs w:val="21"/>
          <w:highlight w:val="none"/>
        </w:rPr>
        <w:t>绿化养护期：是指承包人按照合同约定进行绿化养护的期限，从工程竣工验收合格之日起计算。</w:t>
      </w:r>
      <w:r>
        <w:rPr>
          <w:rFonts w:hint="eastAsia" w:ascii="宋体" w:hAnsi="宋体" w:eastAsia="宋体" w:cs="宋体"/>
          <w:bCs/>
          <w:color w:val="auto"/>
          <w:kern w:val="0"/>
          <w:sz w:val="21"/>
          <w:szCs w:val="21"/>
          <w:highlight w:val="none"/>
        </w:rPr>
        <w:t>绿化养护期最长不得超过</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个月。</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26" w:name="_Toc857078921"/>
      <w:bookmarkStart w:id="927" w:name="_Toc859792571"/>
      <w:bookmarkStart w:id="928" w:name="_Toc28173"/>
      <w:r>
        <w:rPr>
          <w:rFonts w:hint="eastAsia" w:ascii="宋体" w:hAnsi="宋体" w:eastAsia="宋体" w:cs="宋体"/>
          <w:color w:val="auto"/>
          <w:sz w:val="21"/>
          <w:szCs w:val="21"/>
          <w:highlight w:val="none"/>
        </w:rPr>
        <w:t>1.3 法律</w:t>
      </w:r>
      <w:bookmarkEnd w:id="926"/>
      <w:bookmarkEnd w:id="927"/>
      <w:bookmarkEnd w:id="928"/>
      <w:r>
        <w:rPr>
          <w:rFonts w:hint="eastAsia" w:ascii="宋体" w:hAnsi="宋体" w:eastAsia="宋体" w:cs="宋体"/>
          <w:color w:val="auto"/>
          <w:sz w:val="21"/>
          <w:szCs w:val="21"/>
          <w:highlight w:val="none"/>
        </w:rPr>
        <w:t xml:space="preserve"> </w:t>
      </w:r>
    </w:p>
    <w:p>
      <w:pPr>
        <w:pageBreakBefore w:val="0"/>
        <w:kinsoku/>
        <w:wordWrap/>
        <w:overflowPunct/>
        <w:topLinePunct w:val="0"/>
        <w:autoSpaceDE w:val="0"/>
        <w:autoSpaceDN w:val="0"/>
        <w:bidi w:val="0"/>
        <w:adjustRightInd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适用于合同的其他规范性文件：</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29" w:name="_Toc20831"/>
      <w:bookmarkStart w:id="930" w:name="_Toc1984547573"/>
      <w:bookmarkStart w:id="931" w:name="_Toc1028117936"/>
      <w:r>
        <w:rPr>
          <w:rFonts w:hint="eastAsia" w:ascii="宋体" w:hAnsi="宋体" w:eastAsia="宋体" w:cs="宋体"/>
          <w:color w:val="auto"/>
          <w:sz w:val="21"/>
          <w:szCs w:val="21"/>
          <w:highlight w:val="none"/>
        </w:rPr>
        <w:t>1.4 标准和规范</w:t>
      </w:r>
      <w:bookmarkEnd w:id="929"/>
      <w:bookmarkEnd w:id="930"/>
      <w:bookmarkEnd w:id="931"/>
    </w:p>
    <w:p>
      <w:pPr>
        <w:pageBreakBefore w:val="0"/>
        <w:kinsoku/>
        <w:wordWrap/>
        <w:overflowPunct/>
        <w:topLinePunct w:val="0"/>
        <w:bidi w:val="0"/>
        <w:spacing w:line="312" w:lineRule="auto"/>
        <w:ind w:left="596" w:leftChars="28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1.4.1适用于工程的标准规范包括：</w:t>
      </w:r>
    </w:p>
    <w:p>
      <w:pPr>
        <w:pageBreakBefore w:val="0"/>
        <w:widowControl/>
        <w:kinsoku/>
        <w:wordWrap/>
        <w:overflowPunct/>
        <w:topLinePunct w:val="0"/>
        <w:bidi w:val="0"/>
        <w:spacing w:line="312" w:lineRule="auto"/>
        <w:ind w:left="596" w:leftChars="28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园林绿化工程施工及验收规范（CJJ82）；</w:t>
      </w:r>
    </w:p>
    <w:p>
      <w:pPr>
        <w:pageBreakBefore w:val="0"/>
        <w:kinsoku/>
        <w:wordWrap/>
        <w:overflowPunct/>
        <w:topLinePunct w:val="0"/>
        <w:bidi w:val="0"/>
        <w:spacing w:line="312" w:lineRule="auto"/>
        <w:ind w:left="596" w:leftChars="28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园林绿化养护标准（CJJ/T287）；</w:t>
      </w:r>
    </w:p>
    <w:p>
      <w:pPr>
        <w:pageBreakBefore w:val="0"/>
        <w:kinsoku/>
        <w:wordWrap/>
        <w:overflowPunct/>
        <w:topLinePunct w:val="0"/>
        <w:bidi w:val="0"/>
        <w:spacing w:line="312" w:lineRule="auto"/>
        <w:ind w:left="596" w:leftChars="28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建设工程工程量清单计价规范（GB50500）；</w:t>
      </w:r>
    </w:p>
    <w:p>
      <w:pPr>
        <w:pageBreakBefore w:val="0"/>
        <w:kinsoku/>
        <w:wordWrap/>
        <w:overflowPunct/>
        <w:topLinePunct w:val="0"/>
        <w:bidi w:val="0"/>
        <w:spacing w:line="312" w:lineRule="auto"/>
        <w:ind w:left="596" w:leftChars="28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园林绿化工程工程量计算规范（GB50858）；</w:t>
      </w:r>
    </w:p>
    <w:p>
      <w:pPr>
        <w:pageBreakBefore w:val="0"/>
        <w:kinsoku/>
        <w:wordWrap/>
        <w:overflowPunct/>
        <w:topLinePunct w:val="0"/>
        <w:bidi w:val="0"/>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与园林绿化行业相关的行业标准、地方标准：</w:t>
      </w:r>
      <w:r>
        <w:rPr>
          <w:rFonts w:hint="eastAsia" w:ascii="宋体" w:hAnsi="宋体" w:eastAsia="宋体" w:cs="宋体"/>
          <w:color w:val="auto"/>
          <w:sz w:val="21"/>
          <w:szCs w:val="21"/>
          <w:highlight w:val="none"/>
          <w:u w:val="single"/>
        </w:rPr>
        <w:t>中华人民共和国住房和城乡建设部等部门及省、市发布的有关文件</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bookmarkStart w:id="932" w:name="_Toc1033"/>
      <w:bookmarkStart w:id="933" w:name="_Toc29821"/>
      <w:bookmarkStart w:id="934" w:name="_Toc2729"/>
      <w:r>
        <w:rPr>
          <w:rFonts w:hint="eastAsia" w:ascii="宋体" w:hAnsi="宋体" w:eastAsia="宋体" w:cs="宋体"/>
          <w:color w:val="auto"/>
          <w:sz w:val="21"/>
          <w:szCs w:val="21"/>
          <w:highlight w:val="none"/>
        </w:rPr>
        <w:t>1.4.2 发包人提供国外标准、规范的名称：</w:t>
      </w:r>
      <w:bookmarkEnd w:id="932"/>
      <w:bookmarkEnd w:id="933"/>
      <w:bookmarkEnd w:id="934"/>
      <w:r>
        <w:rPr>
          <w:rFonts w:hint="eastAsia" w:ascii="宋体" w:hAnsi="宋体" w:eastAsia="宋体" w:cs="宋体"/>
          <w:color w:val="auto"/>
          <w:sz w:val="21"/>
          <w:szCs w:val="21"/>
          <w:highlight w:val="none"/>
          <w:u w:val="single"/>
        </w:rPr>
        <w:t>承包人自备国内现行适用的标准、规范</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发包人提供国外标准、规范的份数：</w:t>
      </w:r>
      <w:r>
        <w:rPr>
          <w:rFonts w:hint="eastAsia" w:ascii="宋体" w:hAnsi="宋体" w:eastAsia="宋体" w:cs="宋体"/>
          <w:color w:val="auto"/>
          <w:kern w:val="0"/>
          <w:sz w:val="21"/>
          <w:szCs w:val="21"/>
          <w:highlight w:val="none"/>
          <w:u w:val="single"/>
        </w:rPr>
        <w:t xml:space="preserve">     无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1.4.3 发包人对工程的技术标准和功能要求的特殊要求：</w:t>
      </w:r>
      <w:r>
        <w:rPr>
          <w:rFonts w:hint="eastAsia" w:ascii="宋体" w:hAnsi="宋体" w:eastAsia="宋体" w:cs="宋体"/>
          <w:color w:val="auto"/>
          <w:sz w:val="21"/>
          <w:szCs w:val="21"/>
          <w:highlight w:val="none"/>
          <w:u w:val="single"/>
        </w:rPr>
        <w:t xml:space="preserve"> 按现行规范执行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35" w:name="_Toc659781100"/>
      <w:bookmarkStart w:id="936" w:name="_Toc21978"/>
      <w:bookmarkStart w:id="937" w:name="_Toc498019564"/>
      <w:r>
        <w:rPr>
          <w:rFonts w:hint="eastAsia" w:ascii="宋体" w:hAnsi="宋体" w:eastAsia="宋体" w:cs="宋体"/>
          <w:color w:val="auto"/>
          <w:sz w:val="21"/>
          <w:szCs w:val="21"/>
          <w:highlight w:val="none"/>
        </w:rPr>
        <w:t>1.5 合同文件的优先顺序</w:t>
      </w:r>
      <w:bookmarkEnd w:id="935"/>
      <w:bookmarkEnd w:id="936"/>
      <w:bookmarkEnd w:id="937"/>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合同文件组成及优先顺序为：</w:t>
      </w:r>
      <w:r>
        <w:rPr>
          <w:rFonts w:hint="eastAsia" w:ascii="宋体" w:hAnsi="宋体" w:eastAsia="宋体" w:cs="宋体"/>
          <w:color w:val="auto"/>
          <w:sz w:val="21"/>
          <w:szCs w:val="21"/>
          <w:highlight w:val="none"/>
          <w:u w:val="single"/>
        </w:rPr>
        <w:t xml:space="preserve">（1）合同协议书；（2）中标通知书；（3）投标函及其附录；（4）招标文件；（5）专用合同条款及其附件；（6）通用合同条款；（7）技术标准和要求；（8）图纸；（9）已标价工程量清单或预算书；（10）其他合同文件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38" w:name="_Toc1088158122"/>
      <w:bookmarkStart w:id="939" w:name="_Toc1984271900"/>
      <w:bookmarkStart w:id="940" w:name="_Toc12618"/>
      <w:r>
        <w:rPr>
          <w:rFonts w:hint="eastAsia" w:ascii="宋体" w:hAnsi="宋体" w:eastAsia="宋体" w:cs="宋体"/>
          <w:color w:val="auto"/>
          <w:sz w:val="21"/>
          <w:szCs w:val="21"/>
          <w:highlight w:val="none"/>
        </w:rPr>
        <w:t>1.6 图纸和承包人文件</w:t>
      </w:r>
      <w:bookmarkEnd w:id="938"/>
      <w:bookmarkEnd w:id="939"/>
      <w:bookmarkEnd w:id="940"/>
      <w:r>
        <w:rPr>
          <w:rFonts w:hint="eastAsia" w:ascii="宋体" w:hAnsi="宋体" w:eastAsia="宋体" w:cs="宋体"/>
          <w:color w:val="auto"/>
          <w:sz w:val="21"/>
          <w:szCs w:val="21"/>
          <w:highlight w:val="none"/>
        </w:rPr>
        <w:tab/>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图纸的提供</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发包人向承包人提供图纸的期限：</w:t>
      </w:r>
      <w:r>
        <w:rPr>
          <w:rFonts w:hint="eastAsia" w:ascii="宋体" w:hAnsi="宋体" w:eastAsia="宋体" w:cs="宋体"/>
          <w:color w:val="auto"/>
          <w:sz w:val="21"/>
          <w:szCs w:val="21"/>
          <w:highlight w:val="none"/>
          <w:u w:val="single"/>
        </w:rPr>
        <w:t xml:space="preserve">   开工前</w:t>
      </w:r>
      <w:r>
        <w:rPr>
          <w:rFonts w:hint="eastAsia" w:ascii="宋体" w:hAnsi="宋体" w:cs="宋体"/>
          <w:color w:val="auto"/>
          <w:sz w:val="21"/>
          <w:szCs w:val="21"/>
          <w:highlight w:val="none"/>
          <w:u w:val="single"/>
          <w:lang w:val="en-US" w:eastAsia="zh-CN"/>
        </w:rPr>
        <w:t>7</w:t>
      </w:r>
      <w:r>
        <w:rPr>
          <w:rFonts w:hint="eastAsia" w:ascii="宋体" w:hAnsi="宋体" w:eastAsia="宋体" w:cs="宋体"/>
          <w:color w:val="auto"/>
          <w:sz w:val="21"/>
          <w:szCs w:val="21"/>
          <w:highlight w:val="none"/>
          <w:u w:val="single"/>
        </w:rPr>
        <w:t xml:space="preserve">天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发包人向承包人提供图纸的数量：</w:t>
      </w:r>
      <w:r>
        <w:rPr>
          <w:rFonts w:hint="eastAsia" w:ascii="宋体" w:hAnsi="宋体" w:eastAsia="宋体" w:cs="宋体"/>
          <w:color w:val="auto"/>
          <w:sz w:val="21"/>
          <w:szCs w:val="21"/>
          <w:highlight w:val="none"/>
          <w:u w:val="single"/>
        </w:rPr>
        <w:t xml:space="preserve">     3份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发包人向承包人提供图纸的内容：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承包人文件</w:t>
      </w:r>
    </w:p>
    <w:p>
      <w:pPr>
        <w:pageBreakBefore w:val="0"/>
        <w:kinsoku/>
        <w:wordWrap/>
        <w:overflowPunct/>
        <w:topLinePunct w:val="0"/>
        <w:bidi w:val="0"/>
        <w:spacing w:line="312" w:lineRule="auto"/>
        <w:ind w:left="596" w:leftChars="284"/>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需要由承包人提供的文件，包括：</w:t>
      </w:r>
      <w:r>
        <w:rPr>
          <w:rFonts w:hint="eastAsia" w:ascii="宋体" w:hAnsi="宋体" w:eastAsia="宋体" w:cs="宋体"/>
          <w:color w:val="auto"/>
          <w:sz w:val="21"/>
          <w:szCs w:val="21"/>
          <w:highlight w:val="none"/>
          <w:u w:val="single"/>
        </w:rPr>
        <w:t xml:space="preserve">   按监理要求执行，包括但不限于项目部人员证书、项目部任命文、实施性施工组织设计等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承包人提供的文件的期限为：</w:t>
      </w:r>
      <w:r>
        <w:rPr>
          <w:rFonts w:hint="eastAsia" w:ascii="宋体" w:hAnsi="宋体" w:eastAsia="宋体" w:cs="宋体"/>
          <w:color w:val="auto"/>
          <w:sz w:val="21"/>
          <w:szCs w:val="21"/>
          <w:highlight w:val="none"/>
          <w:u w:val="single"/>
        </w:rPr>
        <w:t xml:space="preserve"> 按监理要求执行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承包人提供的文件的数量为：</w:t>
      </w:r>
      <w:r>
        <w:rPr>
          <w:rFonts w:hint="eastAsia" w:ascii="宋体" w:hAnsi="宋体" w:eastAsia="宋体" w:cs="宋体"/>
          <w:color w:val="auto"/>
          <w:sz w:val="21"/>
          <w:szCs w:val="21"/>
          <w:highlight w:val="none"/>
          <w:u w:val="single"/>
        </w:rPr>
        <w:t xml:space="preserve"> 按监理要求执行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承包人提供的文件的形式为：</w:t>
      </w:r>
      <w:r>
        <w:rPr>
          <w:rFonts w:hint="eastAsia" w:ascii="宋体" w:hAnsi="宋体" w:eastAsia="宋体" w:cs="宋体"/>
          <w:color w:val="auto"/>
          <w:sz w:val="21"/>
          <w:szCs w:val="21"/>
          <w:highlight w:val="none"/>
          <w:u w:val="single"/>
        </w:rPr>
        <w:t xml:space="preserve"> 按监理要求执行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发包人审批承包人文件的期限：</w:t>
      </w:r>
      <w:r>
        <w:rPr>
          <w:rFonts w:hint="eastAsia" w:ascii="宋体" w:hAnsi="宋体" w:eastAsia="宋体" w:cs="宋体"/>
          <w:color w:val="auto"/>
          <w:sz w:val="21"/>
          <w:szCs w:val="21"/>
          <w:highlight w:val="none"/>
          <w:u w:val="single"/>
        </w:rPr>
        <w:t xml:space="preserve"> 7天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1.6.5 现场图纸准备</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关于现场图纸准备的约定：</w:t>
      </w:r>
      <w:r>
        <w:rPr>
          <w:rFonts w:hint="eastAsia" w:ascii="宋体" w:hAnsi="宋体" w:eastAsia="宋体" w:cs="宋体"/>
          <w:color w:val="auto"/>
          <w:sz w:val="21"/>
          <w:szCs w:val="21"/>
          <w:highlight w:val="none"/>
          <w:u w:val="single"/>
        </w:rPr>
        <w:t xml:space="preserve">除专用合同条款另有约定外，承包人应在施工现场另外保存一套完整的图纸和承包人文件，供发包人、监理人及有关人员进行工程检查时使用。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41" w:name="_Toc13200089"/>
      <w:bookmarkStart w:id="942" w:name="_Toc280711937"/>
      <w:bookmarkStart w:id="943" w:name="_Toc18371"/>
      <w:r>
        <w:rPr>
          <w:rFonts w:hint="eastAsia" w:ascii="宋体" w:hAnsi="宋体" w:eastAsia="宋体" w:cs="宋体"/>
          <w:color w:val="auto"/>
          <w:sz w:val="21"/>
          <w:szCs w:val="21"/>
          <w:highlight w:val="none"/>
        </w:rPr>
        <w:t>1.7 联络</w:t>
      </w:r>
      <w:bookmarkEnd w:id="941"/>
      <w:bookmarkEnd w:id="942"/>
      <w:bookmarkEnd w:id="943"/>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1.7.1 发包人和承包人应当在</w:t>
      </w:r>
      <w:r>
        <w:rPr>
          <w:rFonts w:hint="eastAsia" w:ascii="宋体" w:hAnsi="宋体" w:eastAsia="宋体" w:cs="宋体"/>
          <w:color w:val="auto"/>
          <w:sz w:val="21"/>
          <w:szCs w:val="21"/>
          <w:highlight w:val="none"/>
          <w:u w:val="single"/>
        </w:rPr>
        <w:t xml:space="preserve"> 7 </w:t>
      </w:r>
      <w:r>
        <w:rPr>
          <w:rFonts w:hint="eastAsia" w:ascii="宋体" w:hAnsi="宋体" w:eastAsia="宋体" w:cs="宋体"/>
          <w:color w:val="auto"/>
          <w:kern w:val="0"/>
          <w:sz w:val="21"/>
          <w:szCs w:val="21"/>
          <w:highlight w:val="none"/>
        </w:rPr>
        <w:t>天内将与合同有关的通知、批准、证明、证书、指示、指令、要求、请求、同意、意见、确定和决定等书面函件送达对方当事人。</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1.7.2 发包人接收文件的地点：</w:t>
      </w:r>
      <w:r>
        <w:rPr>
          <w:rFonts w:hint="eastAsia" w:ascii="宋体" w:hAnsi="宋体" w:eastAsia="宋体" w:cs="宋体"/>
          <w:color w:val="auto"/>
          <w:sz w:val="21"/>
          <w:szCs w:val="21"/>
          <w:highlight w:val="none"/>
          <w:u w:val="single"/>
        </w:rPr>
        <w:t xml:space="preserve">项目部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发包人指定的接收人为：</w:t>
      </w:r>
      <w:r>
        <w:rPr>
          <w:rFonts w:hint="eastAsia" w:ascii="宋体" w:hAnsi="宋体" w:eastAsia="宋体" w:cs="宋体"/>
          <w:color w:val="auto"/>
          <w:sz w:val="21"/>
          <w:szCs w:val="21"/>
          <w:highlight w:val="none"/>
          <w:u w:val="single"/>
        </w:rPr>
        <w:t xml:space="preserve">     发包</w:t>
      </w:r>
      <w:r>
        <w:rPr>
          <w:rFonts w:hint="eastAsia" w:ascii="宋体" w:hAnsi="宋体" w:cs="宋体"/>
          <w:color w:val="auto"/>
          <w:sz w:val="21"/>
          <w:szCs w:val="21"/>
          <w:highlight w:val="none"/>
          <w:u w:val="single"/>
          <w:lang w:eastAsia="zh-CN"/>
        </w:rPr>
        <w:t>人业主</w:t>
      </w:r>
      <w:r>
        <w:rPr>
          <w:rFonts w:hint="eastAsia" w:ascii="宋体" w:hAnsi="宋体" w:eastAsia="宋体" w:cs="宋体"/>
          <w:color w:val="auto"/>
          <w:sz w:val="21"/>
          <w:szCs w:val="21"/>
          <w:highlight w:val="none"/>
          <w:u w:val="single"/>
        </w:rPr>
        <w:t xml:space="preserve">代表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承包人接收文件的地点：</w:t>
      </w:r>
      <w:r>
        <w:rPr>
          <w:rFonts w:hint="eastAsia" w:ascii="宋体" w:hAnsi="宋体" w:eastAsia="宋体" w:cs="宋体"/>
          <w:color w:val="auto"/>
          <w:sz w:val="21"/>
          <w:szCs w:val="21"/>
          <w:highlight w:val="none"/>
          <w:u w:val="single"/>
        </w:rPr>
        <w:t xml:space="preserve"> 项目部</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承包人指定的接收人为：</w:t>
      </w:r>
      <w:r>
        <w:rPr>
          <w:rFonts w:hint="eastAsia" w:ascii="宋体" w:hAnsi="宋体" w:eastAsia="宋体" w:cs="宋体"/>
          <w:color w:val="auto"/>
          <w:sz w:val="21"/>
          <w:szCs w:val="21"/>
          <w:highlight w:val="none"/>
          <w:u w:val="single"/>
        </w:rPr>
        <w:t xml:space="preserve">    项目负责人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监理人接收文件的地点：</w:t>
      </w:r>
      <w:r>
        <w:rPr>
          <w:rFonts w:hint="eastAsia" w:ascii="宋体" w:hAnsi="宋体" w:eastAsia="宋体" w:cs="宋体"/>
          <w:color w:val="auto"/>
          <w:sz w:val="21"/>
          <w:szCs w:val="21"/>
          <w:highlight w:val="none"/>
          <w:u w:val="single"/>
        </w:rPr>
        <w:t xml:space="preserve"> 项目部</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监理人指定的接收人为：</w:t>
      </w:r>
      <w:r>
        <w:rPr>
          <w:rFonts w:hint="eastAsia" w:ascii="宋体" w:hAnsi="宋体" w:eastAsia="宋体" w:cs="宋体"/>
          <w:color w:val="auto"/>
          <w:sz w:val="21"/>
          <w:szCs w:val="21"/>
          <w:highlight w:val="none"/>
          <w:u w:val="single"/>
        </w:rPr>
        <w:t>总监理工程师或总监代表</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44" w:name="_Toc8108"/>
      <w:bookmarkStart w:id="945" w:name="_Toc1023515055"/>
      <w:bookmarkStart w:id="946" w:name="_Toc1289155066"/>
      <w:r>
        <w:rPr>
          <w:rFonts w:hint="eastAsia" w:ascii="宋体" w:hAnsi="宋体" w:eastAsia="宋体" w:cs="宋体"/>
          <w:color w:val="auto"/>
          <w:sz w:val="21"/>
          <w:szCs w:val="21"/>
          <w:highlight w:val="none"/>
        </w:rPr>
        <w:t>1.10 交通运输</w:t>
      </w:r>
      <w:bookmarkEnd w:id="944"/>
      <w:bookmarkEnd w:id="945"/>
      <w:bookmarkEnd w:id="946"/>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bookmarkStart w:id="947" w:name="_Toc17087"/>
      <w:bookmarkStart w:id="948" w:name="_Toc9787"/>
      <w:bookmarkStart w:id="949" w:name="_Toc8013"/>
      <w:r>
        <w:rPr>
          <w:rFonts w:hint="eastAsia" w:ascii="宋体" w:hAnsi="宋体" w:eastAsia="宋体" w:cs="宋体"/>
          <w:color w:val="auto"/>
          <w:sz w:val="21"/>
          <w:szCs w:val="21"/>
          <w:highlight w:val="none"/>
        </w:rPr>
        <w:t>1.10.1 出入现场的权利</w:t>
      </w:r>
      <w:bookmarkEnd w:id="947"/>
      <w:bookmarkEnd w:id="948"/>
      <w:bookmarkEnd w:id="949"/>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关于出入现场的权利的约定：</w:t>
      </w:r>
      <w:r>
        <w:rPr>
          <w:rFonts w:hint="eastAsia" w:ascii="宋体" w:hAnsi="宋体" w:eastAsia="宋体" w:cs="宋体"/>
          <w:color w:val="auto"/>
          <w:sz w:val="21"/>
          <w:szCs w:val="21"/>
          <w:highlight w:val="none"/>
          <w:u w:val="single"/>
        </w:rPr>
        <w:t xml:space="preserve">  发包人应根据施工需要，负责取得出入施工现场所需的批准手续和全部权利，以及取得因施工所需修建道路以及其他基础设施的权利，并承担相关手续费用和建设费用，若该费用已包含在本项目发包范围，则由承包人自行解决并承担费用。承包人应协助发包人办理修建场内外道路以及其他基础设施的手续。</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承包人应在订立合同前查勘施工现场，并根据工程规模及技术参数合理预见工程施工所需的进出施工现场的方式、手段、路径等。因承包人未合理预见所增加的费用和（或）延误的工期由承包人承担。</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bookmarkStart w:id="950" w:name="_Toc30188"/>
      <w:bookmarkStart w:id="951" w:name="_Toc4066"/>
      <w:bookmarkStart w:id="952" w:name="_Toc3062"/>
      <w:r>
        <w:rPr>
          <w:rFonts w:hint="eastAsia" w:ascii="宋体" w:hAnsi="宋体" w:eastAsia="宋体" w:cs="宋体"/>
          <w:color w:val="auto"/>
          <w:sz w:val="21"/>
          <w:szCs w:val="21"/>
          <w:highlight w:val="none"/>
        </w:rPr>
        <w:t>1.10.3 场内交通</w:t>
      </w:r>
      <w:bookmarkEnd w:id="950"/>
      <w:bookmarkEnd w:id="951"/>
      <w:bookmarkEnd w:id="952"/>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关于场外交通和场内交通的边界的约定：</w:t>
      </w:r>
      <w:r>
        <w:rPr>
          <w:rFonts w:hint="eastAsia" w:ascii="宋体" w:hAnsi="宋体" w:eastAsia="宋体" w:cs="宋体"/>
          <w:color w:val="auto"/>
          <w:sz w:val="21"/>
          <w:szCs w:val="21"/>
          <w:highlight w:val="none"/>
          <w:u w:val="single"/>
        </w:rPr>
        <w:t xml:space="preserve"> 场内交通设施和道路由承包人负责建设，发包人不另支付费用，场内交通边界现场确定</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关于发包人向承包人免费提供满足工程施工需要的场内道路和交通设施的约定：</w:t>
      </w:r>
      <w:r>
        <w:rPr>
          <w:rFonts w:hint="eastAsia" w:ascii="宋体" w:hAnsi="宋体" w:eastAsia="宋体" w:cs="宋体"/>
          <w:color w:val="auto"/>
          <w:sz w:val="21"/>
          <w:szCs w:val="21"/>
          <w:highlight w:val="none"/>
          <w:u w:val="single"/>
        </w:rPr>
        <w:t xml:space="preserve"> 自行踏勘，自行解决</w:t>
      </w:r>
      <w:r>
        <w:rPr>
          <w:rFonts w:hint="eastAsia" w:ascii="宋体" w:hAnsi="宋体" w:eastAsia="宋体" w:cs="宋体"/>
          <w:color w:val="auto"/>
          <w:sz w:val="21"/>
          <w:szCs w:val="21"/>
          <w:highlight w:val="none"/>
        </w:rPr>
        <w:t xml:space="preserve">。  </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1.10.4 超大件和超重件的运输</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运输超大件或超重件所需的道路和桥梁临时加固改造费用和其他有关费用由</w:t>
      </w:r>
      <w:r>
        <w:rPr>
          <w:rFonts w:hint="eastAsia" w:ascii="宋体" w:hAnsi="宋体" w:eastAsia="宋体" w:cs="宋体"/>
          <w:color w:val="auto"/>
          <w:sz w:val="21"/>
          <w:szCs w:val="21"/>
          <w:highlight w:val="none"/>
          <w:u w:val="single"/>
        </w:rPr>
        <w:t xml:space="preserve">   承包方   承担。</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53" w:name="_Toc869890155"/>
      <w:bookmarkStart w:id="954" w:name="_Toc1760605217"/>
      <w:bookmarkStart w:id="955" w:name="_Toc17638"/>
      <w:r>
        <w:rPr>
          <w:rFonts w:hint="eastAsia" w:ascii="宋体" w:hAnsi="宋体" w:eastAsia="宋体" w:cs="宋体"/>
          <w:color w:val="auto"/>
          <w:sz w:val="21"/>
          <w:szCs w:val="21"/>
          <w:highlight w:val="none"/>
        </w:rPr>
        <w:t>1.11 知识产权</w:t>
      </w:r>
      <w:bookmarkEnd w:id="953"/>
      <w:bookmarkEnd w:id="954"/>
      <w:bookmarkEnd w:id="955"/>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1"/>
          <w:szCs w:val="21"/>
          <w:highlight w:val="none"/>
          <w:u w:val="single"/>
        </w:rPr>
        <w:t xml:space="preserve">   发包人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关于发包人提供的上述文件的使用限制的要求：</w:t>
      </w:r>
      <w:r>
        <w:rPr>
          <w:rFonts w:hint="eastAsia" w:ascii="宋体" w:hAnsi="宋体" w:eastAsia="宋体" w:cs="宋体"/>
          <w:color w:val="auto"/>
          <w:sz w:val="21"/>
          <w:szCs w:val="21"/>
          <w:highlight w:val="none"/>
          <w:u w:val="single"/>
        </w:rPr>
        <w:t xml:space="preserve"> 承包人可以为实现合同目的而复制、使用此类文件，但不能用于与合同无关的其他事项。未经发包人书面同意，承包人不得为了合同以外的目的而复制、使用上述文件或将之提供给任何第三方   。</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bookmarkStart w:id="956" w:name="_Toc11158"/>
      <w:bookmarkStart w:id="957" w:name="_Toc29973"/>
      <w:bookmarkStart w:id="958" w:name="_Toc14488"/>
      <w:r>
        <w:rPr>
          <w:rFonts w:hint="eastAsia" w:ascii="宋体" w:hAnsi="宋体" w:eastAsia="宋体" w:cs="宋体"/>
          <w:color w:val="auto"/>
          <w:sz w:val="21"/>
          <w:szCs w:val="21"/>
          <w:highlight w:val="none"/>
        </w:rPr>
        <w:t>1.11.2 关于承包人为实施工程所编制文件的著作权的归属：</w:t>
      </w:r>
      <w:bookmarkEnd w:id="956"/>
      <w:bookmarkEnd w:id="957"/>
      <w:bookmarkEnd w:id="958"/>
      <w:r>
        <w:rPr>
          <w:rFonts w:hint="eastAsia" w:ascii="宋体" w:hAnsi="宋体" w:eastAsia="宋体" w:cs="宋体"/>
          <w:color w:val="auto"/>
          <w:sz w:val="21"/>
          <w:szCs w:val="21"/>
          <w:highlight w:val="none"/>
          <w:u w:val="single"/>
        </w:rPr>
        <w:t>发包人</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关于承包人提供的上述文件的使用限制的要求：</w:t>
      </w:r>
      <w:r>
        <w:rPr>
          <w:rFonts w:hint="eastAsia" w:ascii="宋体" w:hAnsi="宋体" w:eastAsia="宋体" w:cs="宋体"/>
          <w:color w:val="auto"/>
          <w:sz w:val="21"/>
          <w:szCs w:val="21"/>
          <w:highlight w:val="none"/>
          <w:u w:val="single"/>
        </w:rPr>
        <w:t xml:space="preserve"> 承包人可因实施工程的运行、调试、维修、改造等目的而复制、使用此类文件，但不能用于与合同无关的其他事项。未经发包人书面同意，承包人不得为了合同以外的目的而复制、使用上述文件或将之提供给任何第三方</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bookmarkStart w:id="959" w:name="_Toc13562"/>
      <w:bookmarkStart w:id="960" w:name="_Toc4666"/>
      <w:bookmarkStart w:id="961" w:name="_Toc22809"/>
      <w:r>
        <w:rPr>
          <w:rFonts w:hint="eastAsia" w:ascii="宋体" w:hAnsi="宋体" w:eastAsia="宋体" w:cs="宋体"/>
          <w:color w:val="auto"/>
          <w:sz w:val="21"/>
          <w:szCs w:val="21"/>
          <w:highlight w:val="none"/>
        </w:rPr>
        <w:t>1.11.4 承包人在施工过程中所采用的专利、专有技术、技术秘密的使用费的承担方式：</w:t>
      </w:r>
      <w:r>
        <w:rPr>
          <w:rFonts w:hint="eastAsia" w:ascii="宋体" w:hAnsi="宋体" w:eastAsia="宋体" w:cs="宋体"/>
          <w:color w:val="auto"/>
          <w:sz w:val="21"/>
          <w:szCs w:val="21"/>
          <w:highlight w:val="none"/>
          <w:u w:val="single"/>
        </w:rPr>
        <w:t xml:space="preserve">    该费用已包含在签约合同价中    </w:t>
      </w:r>
      <w:r>
        <w:rPr>
          <w:rFonts w:hint="eastAsia" w:ascii="宋体" w:hAnsi="宋体" w:eastAsia="宋体" w:cs="宋体"/>
          <w:color w:val="auto"/>
          <w:kern w:val="0"/>
          <w:sz w:val="21"/>
          <w:szCs w:val="21"/>
          <w:highlight w:val="none"/>
        </w:rPr>
        <w:t>。</w:t>
      </w:r>
      <w:bookmarkEnd w:id="959"/>
      <w:bookmarkEnd w:id="960"/>
      <w:bookmarkEnd w:id="961"/>
      <w:bookmarkStart w:id="962" w:name="_Toc4484"/>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工程量清单错误的修正</w:t>
      </w:r>
      <w:bookmarkEnd w:id="962"/>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本款修改为：</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承包人应在合同签订后对发包人提供的工程量清单、图纸和现场进行核查和踏察，如发现差异，应在</w:t>
      </w:r>
      <w:r>
        <w:rPr>
          <w:rFonts w:hint="eastAsia" w:ascii="宋体" w:hAnsi="宋体" w:eastAsia="宋体" w:cs="宋体"/>
          <w:b/>
          <w:bCs/>
          <w:color w:val="auto"/>
          <w:sz w:val="21"/>
          <w:szCs w:val="21"/>
          <w:highlight w:val="none"/>
          <w:u w:val="single"/>
          <w:lang w:val="en-US" w:eastAsia="zh-CN"/>
        </w:rPr>
        <w:t>图纸会审当天</w:t>
      </w:r>
      <w:r>
        <w:rPr>
          <w:rFonts w:hint="eastAsia" w:ascii="宋体" w:hAnsi="宋体" w:eastAsia="宋体" w:cs="宋体"/>
          <w:color w:val="auto"/>
          <w:sz w:val="21"/>
          <w:szCs w:val="21"/>
          <w:highlight w:val="none"/>
        </w:rPr>
        <w:t>以书面形式向发包人提出；有下列情形之一时，发包人应予以修正，并相应调整合同价格：</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963" w:name="_Toc2049858434"/>
      <w:bookmarkStart w:id="964" w:name="_Toc125523837"/>
      <w:r>
        <w:rPr>
          <w:rFonts w:hint="eastAsia" w:ascii="宋体" w:hAnsi="宋体" w:eastAsia="宋体" w:cs="宋体"/>
          <w:b w:val="0"/>
          <w:color w:val="auto"/>
          <w:sz w:val="21"/>
          <w:szCs w:val="21"/>
          <w:highlight w:val="none"/>
        </w:rPr>
        <w:t>2. 发包人</w:t>
      </w:r>
      <w:bookmarkEnd w:id="963"/>
      <w:bookmarkEnd w:id="964"/>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65" w:name="_Toc351203510"/>
      <w:bookmarkStart w:id="966" w:name="_Toc29214"/>
      <w:bookmarkStart w:id="967" w:name="_Toc1613310203"/>
      <w:bookmarkStart w:id="968" w:name="_Toc493482386"/>
      <w:r>
        <w:rPr>
          <w:rFonts w:hint="eastAsia" w:ascii="宋体" w:hAnsi="宋体" w:eastAsia="宋体" w:cs="宋体"/>
          <w:color w:val="auto"/>
          <w:sz w:val="21"/>
          <w:szCs w:val="21"/>
          <w:highlight w:val="none"/>
        </w:rPr>
        <w:t>2.1 许可或批准</w:t>
      </w:r>
      <w:bookmarkEnd w:id="965"/>
      <w:bookmarkEnd w:id="966"/>
      <w:bookmarkEnd w:id="967"/>
      <w:bookmarkEnd w:id="968"/>
    </w:p>
    <w:p>
      <w:pPr>
        <w:pageBreakBefore w:val="0"/>
        <w:kinsoku/>
        <w:wordWrap/>
        <w:overflowPunct/>
        <w:topLinePunct w:val="0"/>
        <w:bidi w:val="0"/>
        <w:snapToGrid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2.1.1 根据相关规定提供园林绿化施工所需的许可或批准。</w:t>
      </w:r>
      <w:bookmarkStart w:id="969" w:name="_Toc17753"/>
    </w:p>
    <w:p>
      <w:pPr>
        <w:pageBreakBefore w:val="0"/>
        <w:kinsoku/>
        <w:wordWrap/>
        <w:overflowPunct/>
        <w:topLinePunct w:val="0"/>
        <w:bidi w:val="0"/>
        <w:snapToGrid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发包人代表</w:t>
      </w:r>
      <w:bookmarkEnd w:id="969"/>
    </w:p>
    <w:p>
      <w:pPr>
        <w:pageBreakBefore w:val="0"/>
        <w:kinsoku/>
        <w:wordWrap/>
        <w:overflowPunct/>
        <w:topLinePunct w:val="0"/>
        <w:bidi w:val="0"/>
        <w:snapToGrid w:val="0"/>
        <w:spacing w:line="312"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发包人代表：</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发包人对发包人代表的授权范围如下：</w:t>
      </w:r>
      <w:r>
        <w:rPr>
          <w:rFonts w:hint="eastAsia" w:ascii="宋体" w:hAnsi="宋体" w:eastAsia="宋体" w:cs="宋体"/>
          <w:color w:val="auto"/>
          <w:sz w:val="21"/>
          <w:szCs w:val="21"/>
          <w:highlight w:val="none"/>
          <w:u w:val="single"/>
        </w:rPr>
        <w:t xml:space="preserve"> 施工组织设计和总进度计划的审批权和调整权；人员在岗、工程进度、质量、安全、环保的监督检查权和建议处罚权；工程款的初步审查权；第三方检测的委托权；主要材料的质量否决权；工程量的确认权；工程变更签证的审核权；可调价格材料的价格确认权；工程结算的审核权；合同的解释；等等</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70" w:name="_Toc1335716241"/>
      <w:bookmarkStart w:id="971" w:name="_Toc26646"/>
      <w:bookmarkStart w:id="972" w:name="_Toc571308452"/>
      <w:r>
        <w:rPr>
          <w:rFonts w:hint="eastAsia" w:ascii="宋体" w:hAnsi="宋体" w:eastAsia="宋体" w:cs="宋体"/>
          <w:color w:val="auto"/>
          <w:sz w:val="21"/>
          <w:szCs w:val="21"/>
          <w:highlight w:val="none"/>
        </w:rPr>
        <w:t>2.4 施工现场、施工条件和基础资料的提供</w:t>
      </w:r>
      <w:bookmarkEnd w:id="970"/>
      <w:bookmarkEnd w:id="971"/>
      <w:bookmarkEnd w:id="972"/>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2.4.1 提供施工现场</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关于发包人移交施工现场的期限要求：</w:t>
      </w:r>
      <w:r>
        <w:rPr>
          <w:rFonts w:hint="eastAsia" w:ascii="宋体" w:hAnsi="宋体" w:eastAsia="宋体" w:cs="宋体"/>
          <w:color w:val="auto"/>
          <w:sz w:val="21"/>
          <w:szCs w:val="21"/>
          <w:highlight w:val="none"/>
          <w:u w:val="single"/>
        </w:rPr>
        <w:t xml:space="preserve">  发包人应最迟于开工日期7天前向承包人移交施工现场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2.4.2 提供施工条件</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关于发包人应负责提供施工所需要的条件，包括：</w:t>
      </w:r>
      <w:r>
        <w:rPr>
          <w:rFonts w:hint="eastAsia" w:ascii="宋体" w:hAnsi="宋体" w:eastAsia="宋体" w:cs="宋体"/>
          <w:color w:val="auto"/>
          <w:sz w:val="21"/>
          <w:szCs w:val="21"/>
          <w:highlight w:val="none"/>
          <w:u w:val="single"/>
        </w:rPr>
        <w:t>（1）承包人提供正常施工所需要的进入施工现场的交通条件；（</w:t>
      </w:r>
      <w:r>
        <w:rPr>
          <w:rFonts w:hint="eastAsia" w:ascii="宋体"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 xml:space="preserve">）协调处理施工现场周围地下管线和邻近建筑物、构筑物、古树名木的保护工作，并承担相关费用。若上述费用已包含在本项目发包范围，则由承包人自行解决并承担费用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2.4.3 提供基础资料</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发包人还应提供项目施工区域内现状树木一览表（附件2）、现状土壤指标、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等。 </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73" w:name="_Toc1205484610"/>
      <w:bookmarkStart w:id="974" w:name="_Toc981174043"/>
      <w:bookmarkStart w:id="975" w:name="_Toc9218"/>
      <w:r>
        <w:rPr>
          <w:rFonts w:hint="eastAsia" w:ascii="宋体" w:hAnsi="宋体" w:eastAsia="宋体" w:cs="宋体"/>
          <w:color w:val="auto"/>
          <w:sz w:val="21"/>
          <w:szCs w:val="21"/>
          <w:highlight w:val="none"/>
        </w:rPr>
        <w:t>2.5 资金来源证明及支付担保</w:t>
      </w:r>
      <w:bookmarkEnd w:id="973"/>
      <w:bookmarkEnd w:id="974"/>
      <w:bookmarkEnd w:id="975"/>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发包人提供资金来源证明的期限要求：</w:t>
      </w:r>
      <w:r>
        <w:rPr>
          <w:rFonts w:hint="eastAsia" w:ascii="宋体" w:hAnsi="宋体" w:eastAsia="宋体" w:cs="宋体"/>
          <w:color w:val="auto"/>
          <w:sz w:val="21"/>
          <w:szCs w:val="21"/>
          <w:highlight w:val="none"/>
          <w:u w:val="single"/>
          <w:lang w:val="en-US" w:eastAsia="zh-CN"/>
        </w:rPr>
        <w:t>项目招标前已落实</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Lines/>
        <w:pageBreakBefore w:val="0"/>
        <w:kinsoku/>
        <w:wordWrap/>
        <w:overflowPunct/>
        <w:topLinePunct w:val="0"/>
        <w:bidi w:val="0"/>
        <w:spacing w:line="312" w:lineRule="auto"/>
        <w:textAlignment w:val="auto"/>
        <w:rPr>
          <w:rFonts w:hint="eastAsia" w:ascii="宋体" w:hAnsi="宋体" w:eastAsia="宋体" w:cs="宋体"/>
          <w:color w:val="auto"/>
          <w:sz w:val="21"/>
          <w:szCs w:val="21"/>
          <w:highlight w:val="none"/>
        </w:rPr>
      </w:pP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976" w:name="_Toc507831889"/>
      <w:bookmarkStart w:id="977" w:name="_Toc224169773"/>
      <w:r>
        <w:rPr>
          <w:rFonts w:hint="eastAsia" w:ascii="宋体" w:hAnsi="宋体" w:eastAsia="宋体" w:cs="宋体"/>
          <w:b w:val="0"/>
          <w:color w:val="auto"/>
          <w:sz w:val="21"/>
          <w:szCs w:val="21"/>
          <w:highlight w:val="none"/>
        </w:rPr>
        <w:t>3. 承包人</w:t>
      </w:r>
      <w:bookmarkEnd w:id="976"/>
      <w:bookmarkEnd w:id="977"/>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78" w:name="_Toc1540549183"/>
      <w:bookmarkStart w:id="979" w:name="_Toc1604068603"/>
      <w:bookmarkStart w:id="980" w:name="_Toc19452"/>
      <w:r>
        <w:rPr>
          <w:rFonts w:hint="eastAsia" w:ascii="宋体" w:hAnsi="宋体" w:eastAsia="宋体" w:cs="宋体"/>
          <w:color w:val="auto"/>
          <w:sz w:val="21"/>
          <w:szCs w:val="21"/>
          <w:highlight w:val="none"/>
        </w:rPr>
        <w:t>3.1 承包人的一般义务</w:t>
      </w:r>
      <w:bookmarkEnd w:id="978"/>
      <w:bookmarkEnd w:id="979"/>
      <w:bookmarkEnd w:id="980"/>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（9）承包人提交的竣工资料的内容：</w:t>
      </w:r>
      <w:r>
        <w:rPr>
          <w:rFonts w:hint="eastAsia" w:ascii="宋体" w:hAnsi="宋体" w:eastAsia="宋体" w:cs="宋体"/>
          <w:color w:val="auto"/>
          <w:sz w:val="21"/>
          <w:szCs w:val="21"/>
          <w:highlight w:val="none"/>
          <w:u w:val="single"/>
        </w:rPr>
        <w:t>按相关要求执行，包括但不限于竣工图、竣工报告、项目质检资料、结算资料等</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承包人需要提交的竣工资料套数：</w:t>
      </w:r>
      <w:r>
        <w:rPr>
          <w:rFonts w:hint="eastAsia" w:ascii="宋体" w:hAnsi="宋体" w:eastAsia="宋体" w:cs="宋体"/>
          <w:color w:val="auto"/>
          <w:sz w:val="21"/>
          <w:szCs w:val="21"/>
          <w:highlight w:val="none"/>
          <w:u w:val="single"/>
        </w:rPr>
        <w:t>按相关要求执行，且不少于3套</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承包人提交的竣工资料的费用承担：</w:t>
      </w:r>
      <w:r>
        <w:rPr>
          <w:rFonts w:hint="eastAsia" w:ascii="宋体" w:hAnsi="宋体" w:eastAsia="宋体" w:cs="宋体"/>
          <w:color w:val="auto"/>
          <w:sz w:val="21"/>
          <w:szCs w:val="21"/>
          <w:highlight w:val="none"/>
          <w:u w:val="single"/>
        </w:rPr>
        <w:t xml:space="preserve">   承包人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承包人提交的竣工资料移交时间：</w:t>
      </w:r>
      <w:r>
        <w:rPr>
          <w:rFonts w:hint="eastAsia" w:ascii="宋体" w:hAnsi="宋体" w:eastAsia="宋体" w:cs="宋体"/>
          <w:color w:val="auto"/>
          <w:sz w:val="21"/>
          <w:szCs w:val="21"/>
          <w:highlight w:val="none"/>
          <w:u w:val="single"/>
        </w:rPr>
        <w:t xml:space="preserve">竣工验收合格后15日内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承包人提交的竣工资料形式要求：</w:t>
      </w:r>
      <w:r>
        <w:rPr>
          <w:rFonts w:hint="eastAsia" w:ascii="宋体" w:hAnsi="宋体" w:eastAsia="宋体" w:cs="宋体"/>
          <w:color w:val="auto"/>
          <w:sz w:val="21"/>
          <w:szCs w:val="21"/>
          <w:highlight w:val="none"/>
          <w:u w:val="single"/>
        </w:rPr>
        <w:t xml:space="preserve"> 纸质及电子形式</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（10）承包人应履行的其他义务：</w:t>
      </w:r>
      <w:r>
        <w:rPr>
          <w:rFonts w:hint="eastAsia" w:ascii="宋体" w:hAnsi="宋体" w:eastAsia="宋体" w:cs="宋体"/>
          <w:color w:val="auto"/>
          <w:sz w:val="21"/>
          <w:szCs w:val="21"/>
          <w:highlight w:val="none"/>
          <w:u w:val="single"/>
        </w:rPr>
        <w:t xml:space="preserve">  ①工程竣工半年(含)内完成竣工结算的；②无合同纠纷等原因拖欠农民工工资、材料款，出现群访及时处理；③质量无缺陷，及时整改到位，处理及时；④施工现场服从调度或工程进度不超过合同工期或按合同期限按时移交的；⑤月工程量进度及时完成；⑥按规定提供工程资料并及时归档的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81" w:name="_Toc324146790"/>
      <w:bookmarkStart w:id="982" w:name="_Toc1559532044"/>
      <w:bookmarkStart w:id="983" w:name="_Toc12983"/>
      <w:r>
        <w:rPr>
          <w:rFonts w:hint="eastAsia" w:ascii="宋体" w:hAnsi="宋体" w:eastAsia="宋体" w:cs="宋体"/>
          <w:color w:val="auto"/>
          <w:sz w:val="21"/>
          <w:szCs w:val="21"/>
          <w:highlight w:val="none"/>
        </w:rPr>
        <w:t>3.2 项目经理</w:t>
      </w:r>
      <w:bookmarkEnd w:id="981"/>
      <w:bookmarkEnd w:id="982"/>
      <w:bookmarkEnd w:id="983"/>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3.2.1 </w:t>
      </w:r>
      <w:r>
        <w:rPr>
          <w:rFonts w:hint="eastAsia" w:ascii="宋体" w:hAnsi="宋体" w:eastAsia="宋体" w:cs="宋体"/>
          <w:color w:val="auto"/>
          <w:sz w:val="21"/>
          <w:szCs w:val="21"/>
          <w:highlight w:val="none"/>
        </w:rPr>
        <w:t>项目负责人：</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相关证书及编号：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承包人对项目负责人的授权范围如下：</w:t>
      </w:r>
      <w:r>
        <w:rPr>
          <w:rFonts w:hint="eastAsia" w:ascii="宋体" w:hAnsi="宋体" w:eastAsia="宋体" w:cs="宋体"/>
          <w:color w:val="auto"/>
          <w:sz w:val="21"/>
          <w:szCs w:val="21"/>
          <w:highlight w:val="none"/>
          <w:u w:val="single"/>
        </w:rPr>
        <w:t xml:space="preserve"> 由承包人明确授权范围</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关于项目负责人每月在施工现场的时间要求：</w:t>
      </w:r>
      <w:r>
        <w:rPr>
          <w:rFonts w:hint="eastAsia" w:ascii="宋体" w:cs="宋体"/>
          <w:color w:val="auto"/>
          <w:szCs w:val="21"/>
          <w:highlight w:val="none"/>
          <w:u w:val="single"/>
        </w:rPr>
        <w:t>项目经理每月在岗时间不得少于20天，施工现场其他管理人员每月在岗时间不得少于22天</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承包人未提交劳动合同，以及没有为项目负责人缴纳社会保险证明的违约责任：</w:t>
      </w:r>
      <w:r>
        <w:rPr>
          <w:rFonts w:hint="eastAsia" w:ascii="宋体" w:hAnsi="宋体" w:eastAsia="宋体" w:cs="宋体"/>
          <w:color w:val="auto"/>
          <w:sz w:val="21"/>
          <w:szCs w:val="21"/>
          <w:highlight w:val="none"/>
          <w:u w:val="single"/>
        </w:rPr>
        <w:t xml:space="preserve">  签订本合同前提供，资格审查时已提供的，不再重复提供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项目负责人未经批准，擅自离开施工现场的违约责任：</w:t>
      </w:r>
      <w:r>
        <w:rPr>
          <w:rFonts w:hint="eastAsia" w:ascii="宋体" w:hAnsi="宋体" w:eastAsia="宋体" w:cs="宋体"/>
          <w:color w:val="auto"/>
          <w:sz w:val="21"/>
          <w:szCs w:val="21"/>
          <w:highlight w:val="none"/>
          <w:u w:val="single"/>
        </w:rPr>
        <w:t xml:space="preserve"> 未按规定在岗履责的，对项目负责人和技术负责人处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5000元/人·天的违约金，对施工现场其他管理人员处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1000元/人·天的违约金。项目部关键岗位人员离岗必须向发包人项目组长履行请假手续，若被我处和相关部门日常检查和随机抽查中发现不在岗的，又未履行请假手续的，处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 xml:space="preserve">5000元/人·次的违约金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3.2.3 承包人擅自更换项目负责人的违约责任：</w:t>
      </w:r>
      <w:r>
        <w:rPr>
          <w:rFonts w:hint="eastAsia" w:ascii="宋体" w:hAnsi="宋体" w:eastAsia="宋体" w:cs="宋体"/>
          <w:color w:val="auto"/>
          <w:sz w:val="21"/>
          <w:szCs w:val="21"/>
          <w:highlight w:val="none"/>
          <w:u w:val="single"/>
        </w:rPr>
        <w:t xml:space="preserve">   项目负责人变更必须经发包人批准，并满足《关于进一步加强建筑施工现场项目负责人变更行为管理的通知》及滁州市其他相关规定要求，除①因重病或重伤三个月以上，不能履行职责的；②辞职的；③发生重大质量安全责任事故，受到刑事或行政处罚，不能担任项目负责人的；④无能力履行合同责任和义务，建设单位要求更换的；⑤被责令停止职业资格的；⑥因犯罪被羁押或判刑的；⑦死亡的等原因外，原则上不得变更。其中，亡故的需提供公安部门开具的死亡证明；重大疾病的需提供三甲及以上医院证明。出国、辞职等原因提出变更的，除需提供相关证明外，须缴纳10万元违约金，否则不得变更。变更后的项目负责人必须符合本项目招标文件和投标承诺配备的同等条件人员，并按照滁州市有关规定履行变更审批程序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6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3.2.4 承包人无正当理由拒绝更换项目负责人的违约责任：</w:t>
      </w:r>
      <w:r>
        <w:rPr>
          <w:rFonts w:hint="eastAsia" w:ascii="宋体" w:hAnsi="宋体" w:eastAsia="宋体" w:cs="宋体"/>
          <w:color w:val="auto"/>
          <w:sz w:val="21"/>
          <w:szCs w:val="21"/>
          <w:highlight w:val="none"/>
          <w:u w:val="single"/>
        </w:rPr>
        <w:t xml:space="preserve"> 发包人将组织对项目负责人进行业务能力考核，对未按投标文件配备或经考核不合格要求更换人员的，承包人7日内必须整改调整到位。否则，对于项目负责人和技术负责人，处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5000元/人•天的违约金，对于施工现场其他管理人员处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1000元/人•天的违约金。28日内未整改调整到位的，发包人有权终止合同，并提请相关行政主管部门对企业和人员进行“黑名单”处罚。</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84" w:name="_Toc7876"/>
      <w:bookmarkStart w:id="985" w:name="_Toc1539542666"/>
      <w:bookmarkStart w:id="986" w:name="_Toc1073182267"/>
      <w:r>
        <w:rPr>
          <w:rFonts w:hint="eastAsia" w:ascii="宋体" w:hAnsi="宋体" w:eastAsia="宋体" w:cs="宋体"/>
          <w:color w:val="auto"/>
          <w:sz w:val="21"/>
          <w:szCs w:val="21"/>
          <w:highlight w:val="none"/>
        </w:rPr>
        <w:t>3.3 承包人人员</w:t>
      </w:r>
      <w:bookmarkEnd w:id="984"/>
      <w:bookmarkEnd w:id="985"/>
      <w:bookmarkEnd w:id="986"/>
    </w:p>
    <w:p>
      <w:pPr>
        <w:pageBreakBefore w:val="0"/>
        <w:kinsoku/>
        <w:wordWrap/>
        <w:overflowPunct/>
        <w:topLinePunct w:val="0"/>
        <w:bidi w:val="0"/>
        <w:spacing w:line="312" w:lineRule="auto"/>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3.3.1 承包人提交项目管理机构及施工现场管理人员安排报告的期限：</w:t>
      </w:r>
      <w:r>
        <w:rPr>
          <w:rFonts w:hint="eastAsia" w:ascii="宋体" w:hAnsi="宋体" w:eastAsia="宋体" w:cs="宋体"/>
          <w:color w:val="auto"/>
          <w:sz w:val="21"/>
          <w:szCs w:val="21"/>
          <w:highlight w:val="none"/>
          <w:u w:val="single"/>
        </w:rPr>
        <w:t xml:space="preserve">  承包人应在合同签订后7日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 承包人无正当理由拒绝撤换主要施工管理人员的违约责任：</w:t>
      </w:r>
      <w:r>
        <w:rPr>
          <w:rFonts w:hint="eastAsia" w:ascii="宋体" w:hAnsi="宋体" w:eastAsia="宋体" w:cs="宋体"/>
          <w:color w:val="auto"/>
          <w:sz w:val="21"/>
          <w:szCs w:val="21"/>
          <w:highlight w:val="none"/>
          <w:u w:val="single"/>
        </w:rPr>
        <w:t xml:space="preserve">  发包人将组织对人员进行业务能力考核，对未按响应文件配备或经考核不合格要求更换人员的，承包人7日内必须整改调整到位。否则，对于项目负责人和技术负责人，处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5000元/人·天的违约金，对于施工现场其他管理人员处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1000元/人·天的违约金。28日内未整改调整到位的，发包人有权终止合同，并提请相关行政主管部门对企业和人员进行“黑名单”处罚</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3.3.4 承包人主要施工管理人员离开施工现场的批准要求：</w:t>
      </w:r>
      <w:r>
        <w:rPr>
          <w:rFonts w:hint="eastAsia" w:ascii="宋体" w:hAnsi="宋体" w:eastAsia="宋体" w:cs="宋体"/>
          <w:color w:val="auto"/>
          <w:sz w:val="21"/>
          <w:szCs w:val="21"/>
          <w:highlight w:val="none"/>
          <w:u w:val="single"/>
        </w:rPr>
        <w:t xml:space="preserve">  未按规定在岗履责的，对项目负责人和技术负责人处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5000元/人·天的违约金，对施工现场其他管理人员处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1000元/人·天的违约金。项目部关键岗位人员离岗必须向发包人项目组长履行请假手续，若被我处和相关部门日常检查和随机抽查中发现不在岗的，又未履行请假手续的，处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 xml:space="preserve">5000元/人·次的违约金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3.3.5 承包人擅自更换主要施工管理人员的违约责任：</w:t>
      </w:r>
      <w:r>
        <w:rPr>
          <w:rFonts w:hint="eastAsia" w:ascii="宋体" w:hAnsi="宋体" w:eastAsia="宋体" w:cs="宋体"/>
          <w:color w:val="auto"/>
          <w:sz w:val="21"/>
          <w:szCs w:val="21"/>
          <w:highlight w:val="none"/>
          <w:u w:val="single"/>
        </w:rPr>
        <w:t xml:space="preserve"> 未按规定在岗履责进行处罚</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承包人主要施工管理人员擅自离开施工现场的违约责任：</w:t>
      </w:r>
      <w:r>
        <w:rPr>
          <w:rFonts w:hint="eastAsia" w:ascii="宋体" w:hAnsi="宋体" w:eastAsia="宋体" w:cs="宋体"/>
          <w:color w:val="auto"/>
          <w:sz w:val="21"/>
          <w:szCs w:val="21"/>
          <w:highlight w:val="none"/>
          <w:u w:val="single"/>
        </w:rPr>
        <w:t xml:space="preserve"> （1）人员考核：工程开工进场后，承包人必须按招标文件要求和投标承诺配备项目经理、技术负责人等施工项目部关键岗位人员。未经发包人同意，不得更换。发包人将组织对上述人员进行业务能力考核，对未按投标文件配备或经考核不合格要求更换人员的，承包人7日内必须整改调整到位。否则，对于项目经理和技术负责人，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5000元/人•天的违约金，对于施工现场其他管理人员处</w:t>
      </w:r>
      <w:r>
        <w:rPr>
          <w:rFonts w:hint="eastAsia" w:ascii="宋体" w:hAnsi="宋体" w:eastAsia="宋体" w:cs="宋体"/>
          <w:color w:val="auto"/>
          <w:sz w:val="21"/>
          <w:szCs w:val="21"/>
          <w:highlight w:val="none"/>
          <w:u w:val="single"/>
          <w:lang w:val="en-US" w:eastAsia="zh-CN"/>
        </w:rPr>
        <w:t>以</w:t>
      </w:r>
      <w:r>
        <w:rPr>
          <w:rFonts w:hint="eastAsia" w:ascii="宋体" w:hAnsi="宋体" w:eastAsia="宋体" w:cs="宋体"/>
          <w:color w:val="auto"/>
          <w:sz w:val="21"/>
          <w:szCs w:val="21"/>
          <w:highlight w:val="none"/>
          <w:u w:val="single"/>
        </w:rPr>
        <w:t>1000元/人•天的违约金。28日内未整改调整到位的，发包人有权终止合同，并提请相关行政主管部门对企业和人员进行“黑名单”处罚。</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发包人在施工进场第一个月或施工过程中发现承包人转包、挂靠等行为的，发包人立即解除合同，清退出场，承包人已完合格工程量按合同价款60%进行结算。</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87" w:name="_Toc824057593"/>
      <w:bookmarkStart w:id="988" w:name="_Toc29840"/>
      <w:bookmarkStart w:id="989" w:name="_Toc1011775723"/>
      <w:r>
        <w:rPr>
          <w:rFonts w:hint="eastAsia" w:ascii="宋体" w:hAnsi="宋体" w:eastAsia="宋体" w:cs="宋体"/>
          <w:color w:val="auto"/>
          <w:sz w:val="21"/>
          <w:szCs w:val="21"/>
          <w:highlight w:val="none"/>
        </w:rPr>
        <w:t>3.5 分包</w:t>
      </w:r>
      <w:bookmarkEnd w:id="987"/>
      <w:bookmarkEnd w:id="988"/>
      <w:bookmarkEnd w:id="989"/>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3.5.1 分包的一般约定</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禁止分包的工程包括：</w:t>
      </w:r>
      <w:r>
        <w:rPr>
          <w:rFonts w:hint="eastAsia" w:ascii="宋体" w:hAnsi="宋体" w:eastAsia="宋体" w:cs="宋体"/>
          <w:color w:val="auto"/>
          <w:sz w:val="21"/>
          <w:szCs w:val="21"/>
          <w:highlight w:val="none"/>
          <w:u w:val="single"/>
        </w:rPr>
        <w:t xml:space="preserve">承包人不得将其承包的全部工程转包给第三人，或将其承包的全部工程肢解后以分包的名义转包给第三人。承包人不得将工程主体结构、关键性工作及合同条款中禁止分包的专业工程分包给第三人，主体结构、关键性工作的范围由合同当事人按照法律规定在专用合同条款中予以明确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主体结构、关键性工作的范围：</w:t>
      </w:r>
      <w:r>
        <w:rPr>
          <w:rFonts w:hint="eastAsia" w:ascii="宋体" w:hAnsi="宋体" w:eastAsia="宋体" w:cs="宋体"/>
          <w:color w:val="auto"/>
          <w:sz w:val="21"/>
          <w:szCs w:val="21"/>
          <w:highlight w:val="none"/>
          <w:u w:val="single"/>
        </w:rPr>
        <w:t xml:space="preserve"> </w:t>
      </w:r>
      <w:r>
        <w:rPr>
          <w:rFonts w:hint="eastAsia" w:ascii="宋体" w:hAnsi="宋体" w:cs="宋体"/>
          <w:b w:val="0"/>
          <w:bCs w:val="0"/>
          <w:color w:val="auto"/>
          <w:szCs w:val="21"/>
          <w:u w:val="single"/>
          <w:lang w:eastAsia="zh-CN"/>
        </w:rPr>
        <w:t>绿化采购、栽植、养护</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90" w:name="_Toc1926667033"/>
      <w:bookmarkStart w:id="991" w:name="_Toc1754831627"/>
      <w:bookmarkStart w:id="992" w:name="_Toc30018"/>
      <w:r>
        <w:rPr>
          <w:rFonts w:hint="eastAsia" w:ascii="宋体" w:hAnsi="宋体" w:eastAsia="宋体" w:cs="宋体"/>
          <w:color w:val="auto"/>
          <w:sz w:val="21"/>
          <w:szCs w:val="21"/>
          <w:highlight w:val="none"/>
        </w:rPr>
        <w:t>3.6 工程照管与成品、半成品保护</w:t>
      </w:r>
      <w:bookmarkEnd w:id="990"/>
      <w:bookmarkEnd w:id="991"/>
      <w:bookmarkEnd w:id="992"/>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93" w:name="_Toc65997439"/>
      <w:bookmarkStart w:id="994" w:name="_Toc786970481"/>
      <w:r>
        <w:rPr>
          <w:rFonts w:hint="eastAsia" w:ascii="宋体" w:hAnsi="宋体" w:eastAsia="宋体" w:cs="宋体"/>
          <w:color w:val="auto"/>
          <w:sz w:val="21"/>
          <w:szCs w:val="21"/>
          <w:highlight w:val="none"/>
        </w:rPr>
        <w:t>本款补充3.6.2。</w:t>
      </w:r>
      <w:bookmarkEnd w:id="993"/>
      <w:bookmarkEnd w:id="994"/>
    </w:p>
    <w:p>
      <w:pPr>
        <w:pageBreakBefore w:val="0"/>
        <w:kinsoku/>
        <w:wordWrap/>
        <w:overflowPunct/>
        <w:topLinePunct w:val="0"/>
        <w:bidi w:val="0"/>
        <w:snapToGrid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3.6.1 承包人负责照管工程及工程相关的材料、工程设备的起始时间：</w:t>
      </w:r>
      <w:r>
        <w:rPr>
          <w:rFonts w:hint="eastAsia" w:ascii="宋体" w:hAnsi="宋体" w:eastAsia="宋体" w:cs="宋体"/>
          <w:color w:val="auto"/>
          <w:kern w:val="0"/>
          <w:sz w:val="21"/>
          <w:szCs w:val="21"/>
          <w:highlight w:val="none"/>
          <w:u w:val="single"/>
        </w:rPr>
        <w:t xml:space="preserve"> 1）自发包人向承包人移交施工现场之日起，承包人应负责照管工程及工程相关的材料、工程设备，直到办理移交手续之日止。（2）在承包人负责照管期间，因承包人原因造成工程、材料、工程设备损坏的，由承包人负责修复或更换，并承担由此增加的费用和（或）延误的工期。（3）对合同内分期完成的成品和半成品，在办理移交手续前，由承包人承担保护责任。因承包人原因造成成品或半成品损坏的，由承包人负责修复或更换，并承担由此增加的费用和（或）延误的工期  </w:t>
      </w:r>
      <w:r>
        <w:rPr>
          <w:rFonts w:hint="eastAsia" w:ascii="宋体" w:hAnsi="宋体" w:eastAsia="宋体" w:cs="宋体"/>
          <w:color w:val="auto"/>
          <w:kern w:val="0"/>
          <w:sz w:val="21"/>
          <w:szCs w:val="21"/>
          <w:highlight w:val="none"/>
        </w:rPr>
        <w:t>。</w:t>
      </w:r>
    </w:p>
    <w:p>
      <w:pPr>
        <w:pageBreakBefore w:val="0"/>
        <w:kinsoku/>
        <w:wordWrap/>
        <w:overflowPunct/>
        <w:topLinePunct w:val="0"/>
        <w:bidi w:val="0"/>
        <w:snapToGrid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3.6.2 现状树木的保护起始时间：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进场施工准备工作开始</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pPr>
        <w:pageBreakBefore w:val="0"/>
        <w:kinsoku/>
        <w:wordWrap/>
        <w:overflowPunct/>
        <w:topLinePunct w:val="0"/>
        <w:bidi w:val="0"/>
        <w:snapToGrid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 履约担保</w:t>
      </w:r>
    </w:p>
    <w:p>
      <w:pPr>
        <w:pageBreakBefore w:val="0"/>
        <w:kinsoku/>
        <w:wordWrap/>
        <w:overflowPunct/>
        <w:topLinePunct w:val="0"/>
        <w:bidi w:val="0"/>
        <w:snapToGrid w:val="0"/>
        <w:spacing w:line="312" w:lineRule="auto"/>
        <w:ind w:left="596" w:leftChars="284"/>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承包人是否提供履约担保：</w:t>
      </w:r>
      <w:r>
        <w:rPr>
          <w:rFonts w:hint="eastAsia" w:ascii="宋体" w:hAnsi="宋体" w:eastAsia="宋体" w:cs="宋体"/>
          <w:color w:val="auto"/>
          <w:sz w:val="21"/>
          <w:szCs w:val="21"/>
          <w:highlight w:val="none"/>
          <w:u w:val="single"/>
        </w:rPr>
        <w:t xml:space="preserve">    是          </w:t>
      </w:r>
      <w:r>
        <w:rPr>
          <w:rFonts w:hint="eastAsia" w:ascii="宋体" w:hAnsi="宋体" w:eastAsia="宋体" w:cs="宋体"/>
          <w:color w:val="auto"/>
          <w:sz w:val="21"/>
          <w:szCs w:val="21"/>
          <w:highlight w:val="none"/>
        </w:rPr>
        <w:t>。</w:t>
      </w:r>
    </w:p>
    <w:p>
      <w:pPr>
        <w:pageBreakBefore w:val="0"/>
        <w:kinsoku/>
        <w:wordWrap/>
        <w:overflowPunct/>
        <w:topLinePunct w:val="0"/>
        <w:autoSpaceDE/>
        <w:bidi w:val="0"/>
        <w:spacing w:line="312" w:lineRule="auto"/>
        <w:ind w:left="638" w:leftChars="304" w:firstLine="0" w:firstLineChars="0"/>
        <w:textAlignment w:val="auto"/>
        <w:rPr>
          <w:rFonts w:hint="eastAsia"/>
          <w:color w:val="auto"/>
          <w:lang w:eastAsia="zh-CN"/>
        </w:rPr>
      </w:pPr>
      <w:bookmarkStart w:id="995" w:name="_Toc2142794716"/>
      <w:bookmarkStart w:id="996" w:name="_Toc1195865979"/>
      <w:r>
        <w:rPr>
          <w:rFonts w:hint="eastAsia"/>
          <w:color w:val="auto"/>
        </w:rPr>
        <w:t>履约数额：</w:t>
      </w:r>
      <w:r>
        <w:rPr>
          <w:rFonts w:hint="eastAsia" w:ascii="Times New Roman" w:hAnsi="Times New Roman" w:eastAsia="宋体" w:cs="Times New Roman"/>
          <w:highlight w:val="none"/>
        </w:rPr>
        <w:t>中标合同金额×</w:t>
      </w:r>
      <w:r>
        <w:rPr>
          <w:rFonts w:hint="eastAsia" w:ascii="Times New Roman" w:hAnsi="Times New Roman" w:eastAsia="宋体" w:cs="Times New Roman"/>
          <w:highlight w:val="none"/>
          <w:lang w:val="en-US" w:eastAsia="zh-CN"/>
        </w:rPr>
        <w:t>10</w:t>
      </w:r>
      <w:r>
        <w:rPr>
          <w:rFonts w:hint="eastAsia" w:ascii="Times New Roman" w:hAnsi="Times New Roman" w:eastAsia="宋体" w:cs="Times New Roman"/>
          <w:highlight w:val="none"/>
        </w:rPr>
        <w:t>%</w:t>
      </w:r>
      <w:r>
        <w:rPr>
          <w:rFonts w:hint="eastAsia"/>
          <w:color w:val="auto"/>
        </w:rPr>
        <w:t>，取整到千位</w:t>
      </w:r>
      <w:r>
        <w:rPr>
          <w:rFonts w:hint="eastAsia"/>
          <w:color w:val="auto"/>
          <w:lang w:eastAsia="zh-CN"/>
        </w:rPr>
        <w:t>，</w:t>
      </w:r>
    </w:p>
    <w:p>
      <w:pPr>
        <w:pageBreakBefore w:val="0"/>
        <w:kinsoku/>
        <w:wordWrap/>
        <w:overflowPunct/>
        <w:topLinePunct w:val="0"/>
        <w:autoSpaceDE/>
        <w:bidi w:val="0"/>
        <w:spacing w:line="312" w:lineRule="auto"/>
        <w:ind w:left="638" w:leftChars="304" w:firstLine="0" w:firstLineChars="0"/>
        <w:textAlignment w:val="auto"/>
        <w:rPr>
          <w:rFonts w:hint="eastAsia"/>
          <w:color w:val="auto"/>
        </w:rPr>
      </w:pPr>
      <w:r>
        <w:rPr>
          <w:rFonts w:hint="eastAsia"/>
          <w:color w:val="auto"/>
        </w:rPr>
        <w:t>形式：</w:t>
      </w:r>
    </w:p>
    <w:p>
      <w:pPr>
        <w:pageBreakBefore w:val="0"/>
        <w:kinsoku/>
        <w:wordWrap/>
        <w:overflowPunct/>
        <w:topLinePunct w:val="0"/>
        <w:autoSpaceDE/>
        <w:bidi w:val="0"/>
        <w:spacing w:line="312" w:lineRule="auto"/>
        <w:ind w:left="638" w:leftChars="304" w:firstLine="0" w:firstLineChars="0"/>
        <w:textAlignment w:val="auto"/>
        <w:rPr>
          <w:rFonts w:hint="eastAsia"/>
          <w:color w:val="auto"/>
        </w:rPr>
      </w:pPr>
      <w:r>
        <w:rPr>
          <w:rFonts w:hint="eastAsia"/>
          <w:color w:val="auto"/>
          <w:lang w:eastAsia="zh-CN"/>
        </w:rPr>
        <w:t>缴纳时间：中标人须在中标通知书发出后</w:t>
      </w:r>
      <w:r>
        <w:rPr>
          <w:rFonts w:hint="eastAsia"/>
          <w:color w:val="auto"/>
          <w:lang w:val="en-US" w:eastAsia="zh-CN"/>
        </w:rPr>
        <w:t>30日内完成履约保证金缴纳及合同签订。否则，取消中标资格，投标保证金不予退还。</w:t>
      </w:r>
      <w:r>
        <w:rPr>
          <w:rFonts w:hint="eastAsia"/>
          <w:color w:val="auto"/>
        </w:rPr>
        <w:t xml:space="preserve">   </w:t>
      </w:r>
    </w:p>
    <w:p>
      <w:pPr>
        <w:pageBreakBefore w:val="0"/>
        <w:kinsoku/>
        <w:wordWrap/>
        <w:overflowPunct/>
        <w:topLinePunct w:val="0"/>
        <w:autoSpaceDE/>
        <w:bidi w:val="0"/>
        <w:spacing w:line="312" w:lineRule="auto"/>
        <w:ind w:left="638" w:leftChars="304" w:firstLine="0" w:firstLineChars="0"/>
        <w:textAlignment w:val="auto"/>
        <w:rPr>
          <w:rFonts w:hint="eastAsia"/>
          <w:color w:val="auto"/>
        </w:rPr>
      </w:pPr>
      <w:r>
        <w:rPr>
          <w:rFonts w:hint="eastAsia"/>
          <w:color w:val="auto"/>
        </w:rPr>
        <w:t xml:space="preserve">退还时间：履约保证金在工程竣工验收合格后一个月内无息退还。 </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r>
        <w:rPr>
          <w:rFonts w:hint="eastAsia" w:ascii="宋体" w:hAnsi="Times New Roman" w:eastAsia="宋体" w:cs="Times New Roman"/>
          <w:b w:val="0"/>
          <w:bCs w:val="0"/>
          <w:color w:val="auto"/>
          <w:kern w:val="2"/>
          <w:sz w:val="21"/>
          <w:szCs w:val="20"/>
          <w:lang w:val="en-US" w:eastAsia="zh-CN" w:bidi="ar-SA"/>
        </w:rPr>
        <w:t xml:space="preserve"> </w:t>
      </w:r>
      <w:r>
        <w:rPr>
          <w:rFonts w:hint="eastAsia" w:ascii="宋体" w:hAnsi="宋体" w:eastAsia="宋体" w:cs="宋体"/>
          <w:b w:val="0"/>
          <w:color w:val="auto"/>
          <w:sz w:val="21"/>
          <w:szCs w:val="21"/>
          <w:highlight w:val="none"/>
        </w:rPr>
        <w:t>4. 监理人</w:t>
      </w:r>
      <w:bookmarkEnd w:id="995"/>
      <w:bookmarkEnd w:id="996"/>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997" w:name="_Toc22333"/>
      <w:bookmarkStart w:id="998" w:name="_Toc189823449"/>
      <w:bookmarkStart w:id="999" w:name="_Toc1325789808"/>
      <w:r>
        <w:rPr>
          <w:rFonts w:hint="eastAsia" w:ascii="宋体" w:hAnsi="宋体" w:eastAsia="宋体" w:cs="宋体"/>
          <w:color w:val="auto"/>
          <w:sz w:val="21"/>
          <w:szCs w:val="21"/>
          <w:highlight w:val="none"/>
        </w:rPr>
        <w:t>4.1 监理人的一般规定</w:t>
      </w:r>
      <w:bookmarkEnd w:id="997"/>
      <w:bookmarkEnd w:id="998"/>
      <w:bookmarkEnd w:id="999"/>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关于监理人的监理内容：</w:t>
      </w:r>
      <w:r>
        <w:rPr>
          <w:rFonts w:hint="eastAsia" w:ascii="宋体" w:hAnsi="宋体" w:eastAsia="宋体" w:cs="宋体"/>
          <w:color w:val="auto"/>
          <w:sz w:val="21"/>
          <w:szCs w:val="21"/>
          <w:highlight w:val="none"/>
          <w:u w:val="single"/>
        </w:rPr>
        <w:t xml:space="preserve">    详见监理合同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关于监理人的监理权限：</w:t>
      </w:r>
      <w:r>
        <w:rPr>
          <w:rFonts w:hint="eastAsia" w:ascii="宋体" w:hAnsi="宋体" w:eastAsia="宋体" w:cs="宋体"/>
          <w:color w:val="auto"/>
          <w:sz w:val="21"/>
          <w:szCs w:val="21"/>
          <w:highlight w:val="none"/>
          <w:u w:val="single"/>
        </w:rPr>
        <w:t xml:space="preserve">   发布开工令、停工令、复工令权；工程质量的监督权；工程上使用的材料和施工质量检验权、确认权；工程施工进度、安全的检查、监督权、发包人授权的处罚权；工程款支付的审核权；向承包人提出施工组织设计和技术方案的建议权；发包人和承包人间的组织协调的主持权；撤换不合格的工程建设分包单位和项目负责人及有关人员的建议权；分包单位资质及能力的审查权；等等      </w:t>
      </w:r>
      <w:r>
        <w:rPr>
          <w:rFonts w:hint="eastAsia" w:ascii="宋体" w:hAnsi="宋体" w:eastAsia="宋体" w:cs="宋体"/>
          <w:color w:val="auto"/>
          <w:sz w:val="21"/>
          <w:szCs w:val="21"/>
          <w:highlight w:val="none"/>
        </w:rPr>
        <w:t xml:space="preserve">。 </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关于监理人在施工现场的办公场所、生活场所的提供和费用承担的约定：</w:t>
      </w:r>
      <w:r>
        <w:rPr>
          <w:rFonts w:hint="eastAsia" w:ascii="宋体" w:hAnsi="宋体" w:eastAsia="宋体" w:cs="宋体"/>
          <w:color w:val="auto"/>
          <w:sz w:val="21"/>
          <w:szCs w:val="21"/>
          <w:highlight w:val="none"/>
          <w:u w:val="single"/>
        </w:rPr>
        <w:t>办公场所由承包人提供和承担，生活场所由监理人自行解决和承担</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00" w:name="_Toc1881790026"/>
      <w:bookmarkStart w:id="1001" w:name="_Toc1416"/>
      <w:bookmarkStart w:id="1002" w:name="_Toc1275710936"/>
      <w:r>
        <w:rPr>
          <w:rFonts w:hint="eastAsia" w:ascii="宋体" w:hAnsi="宋体" w:eastAsia="宋体" w:cs="宋体"/>
          <w:color w:val="auto"/>
          <w:sz w:val="21"/>
          <w:szCs w:val="21"/>
          <w:highlight w:val="none"/>
        </w:rPr>
        <w:t>4.2 监理人员</w:t>
      </w:r>
      <w:bookmarkEnd w:id="1000"/>
      <w:bookmarkEnd w:id="1001"/>
      <w:bookmarkEnd w:id="1002"/>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关于监理人的其他约定：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03" w:name="_Toc1839233093"/>
      <w:bookmarkStart w:id="1004" w:name="_Toc351297407"/>
      <w:bookmarkStart w:id="1005" w:name="_Toc20339"/>
      <w:r>
        <w:rPr>
          <w:rFonts w:hint="eastAsia" w:ascii="宋体" w:hAnsi="宋体" w:eastAsia="宋体" w:cs="宋体"/>
          <w:color w:val="auto"/>
          <w:sz w:val="21"/>
          <w:szCs w:val="21"/>
          <w:highlight w:val="none"/>
        </w:rPr>
        <w:t>4.4 商定或确定</w:t>
      </w:r>
      <w:bookmarkEnd w:id="1003"/>
      <w:bookmarkEnd w:id="1004"/>
      <w:bookmarkEnd w:id="1005"/>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在发包人和承包人不能通过协商达成一致意见时，发包人授权监理人对以下事项进行确定：</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sz w:val="21"/>
          <w:szCs w:val="21"/>
          <w:highlight w:val="none"/>
          <w:u w:val="single"/>
        </w:rPr>
        <w:t xml:space="preserve">      施工方案                                </w:t>
      </w:r>
      <w:r>
        <w:rPr>
          <w:rFonts w:hint="eastAsia" w:ascii="宋体" w:hAnsi="宋体" w:eastAsia="宋体" w:cs="宋体"/>
          <w:color w:val="auto"/>
          <w:sz w:val="21"/>
          <w:szCs w:val="21"/>
          <w:highlight w:val="none"/>
        </w:rPr>
        <w:t>；</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u w:val="single"/>
        </w:rPr>
        <w:t xml:space="preserve">      索赔事项等                              </w:t>
      </w:r>
      <w:r>
        <w:rPr>
          <w:rFonts w:hint="eastAsia" w:ascii="宋体" w:hAnsi="宋体" w:eastAsia="宋体" w:cs="宋体"/>
          <w:color w:val="auto"/>
          <w:sz w:val="21"/>
          <w:szCs w:val="21"/>
          <w:highlight w:val="none"/>
        </w:rPr>
        <w:t>；</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06" w:name="_Toc1767461773"/>
      <w:bookmarkStart w:id="1007" w:name="_Toc441549874"/>
      <w:r>
        <w:rPr>
          <w:rFonts w:hint="eastAsia" w:ascii="宋体" w:hAnsi="宋体" w:eastAsia="宋体" w:cs="宋体"/>
          <w:b w:val="0"/>
          <w:color w:val="auto"/>
          <w:sz w:val="21"/>
          <w:szCs w:val="21"/>
          <w:highlight w:val="none"/>
        </w:rPr>
        <w:t>5. 工程质量</w:t>
      </w:r>
      <w:bookmarkEnd w:id="1006"/>
      <w:bookmarkEnd w:id="1007"/>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08" w:name="_Toc1592482993"/>
      <w:bookmarkStart w:id="1009" w:name="_Toc18820"/>
      <w:bookmarkStart w:id="1010" w:name="_Toc928117446"/>
      <w:r>
        <w:rPr>
          <w:rFonts w:hint="eastAsia" w:ascii="宋体" w:hAnsi="宋体" w:eastAsia="宋体" w:cs="宋体"/>
          <w:color w:val="auto"/>
          <w:sz w:val="21"/>
          <w:szCs w:val="21"/>
          <w:highlight w:val="none"/>
        </w:rPr>
        <w:t>5.1 质量要求</w:t>
      </w:r>
      <w:bookmarkEnd w:id="1008"/>
      <w:bookmarkEnd w:id="1009"/>
      <w:bookmarkEnd w:id="1010"/>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5.1.1 特殊质量标准和要求：</w:t>
      </w:r>
      <w:r>
        <w:rPr>
          <w:rFonts w:hint="eastAsia" w:ascii="宋体" w:hAnsi="宋体" w:eastAsia="宋体" w:cs="宋体"/>
          <w:color w:val="auto"/>
          <w:sz w:val="21"/>
          <w:szCs w:val="21"/>
          <w:highlight w:val="none"/>
          <w:u w:val="single"/>
        </w:rPr>
        <w:t>工程质量必须达到国家工程施工质量验收合格标准</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bCs/>
          <w:color w:val="auto"/>
          <w:sz w:val="21"/>
          <w:szCs w:val="21"/>
          <w:highlight w:val="none"/>
          <w:u w:val="single"/>
        </w:rPr>
      </w:pPr>
      <w:r>
        <w:rPr>
          <w:rFonts w:hint="eastAsia" w:ascii="宋体" w:hAnsi="宋体" w:eastAsia="宋体" w:cs="宋体"/>
          <w:color w:val="auto"/>
          <w:sz w:val="21"/>
          <w:szCs w:val="21"/>
          <w:highlight w:val="none"/>
        </w:rPr>
        <w:t>关于工程奖项的约定：</w:t>
      </w:r>
      <w:r>
        <w:rPr>
          <w:rFonts w:hint="eastAsia" w:ascii="宋体" w:hAnsi="宋体" w:cs="宋体"/>
          <w:color w:val="auto"/>
          <w:sz w:val="21"/>
          <w:szCs w:val="21"/>
          <w:highlight w:val="none"/>
          <w:u w:val="single"/>
          <w:lang w:val="en-US" w:eastAsia="zh-CN"/>
        </w:rPr>
        <w:t xml:space="preserve"> </w:t>
      </w:r>
      <w:r>
        <w:rPr>
          <w:rFonts w:hint="eastAsia" w:ascii="宋体" w:cs="宋体"/>
          <w:color w:val="auto"/>
          <w:szCs w:val="21"/>
          <w:u w:val="single"/>
        </w:rPr>
        <w:t xml:space="preserve"> </w:t>
      </w:r>
      <w:r>
        <w:rPr>
          <w:rFonts w:hint="eastAsia" w:ascii="宋体" w:hAnsi="宋体"/>
          <w:color w:val="auto"/>
          <w:szCs w:val="21"/>
          <w:u w:val="single"/>
          <w:lang w:val="en-US" w:eastAsia="zh-CN"/>
        </w:rPr>
        <w:t>/</w:t>
      </w:r>
      <w:r>
        <w:rPr>
          <w:rFonts w:hint="eastAsia" w:ascii="宋体" w:hAnsi="宋体"/>
          <w:b/>
          <w:bCs/>
          <w:color w:val="auto"/>
          <w:szCs w:val="21"/>
          <w:u w:val="single"/>
          <w:lang w:val="en-US" w:eastAsia="zh-CN"/>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11" w:name="_Toc1292415266"/>
      <w:bookmarkStart w:id="1012" w:name="_Toc462538044"/>
      <w:bookmarkStart w:id="1013" w:name="_Toc15546"/>
      <w:r>
        <w:rPr>
          <w:rFonts w:hint="eastAsia" w:ascii="宋体" w:hAnsi="宋体" w:eastAsia="宋体" w:cs="宋体"/>
          <w:color w:val="auto"/>
          <w:sz w:val="21"/>
          <w:szCs w:val="21"/>
          <w:highlight w:val="none"/>
        </w:rPr>
        <w:t>5.3 隐蔽工程检查</w:t>
      </w:r>
      <w:bookmarkEnd w:id="1011"/>
      <w:bookmarkEnd w:id="1012"/>
      <w:bookmarkEnd w:id="1013"/>
    </w:p>
    <w:p>
      <w:pPr>
        <w:pageBreakBefore w:val="0"/>
        <w:kinsoku/>
        <w:wordWrap/>
        <w:overflowPunct/>
        <w:topLinePunct w:val="0"/>
        <w:bidi w:val="0"/>
        <w:snapToGri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 承包人提前通知监理人隐蔽工程检查的期限的约定：</w:t>
      </w:r>
      <w:r>
        <w:rPr>
          <w:rFonts w:hint="eastAsia" w:ascii="宋体" w:hAnsi="宋体" w:eastAsia="宋体" w:cs="宋体"/>
          <w:color w:val="auto"/>
          <w:sz w:val="21"/>
          <w:szCs w:val="21"/>
          <w:highlight w:val="none"/>
          <w:u w:val="single"/>
        </w:rPr>
        <w:t>工程隐蔽部位经承包人自检确认具备覆盖条件的，承包人应在共同检查前6小时书面通知监理人检查，通知中应载明隐蔽检查的内容、时间和地点，并应附有自检记录和必要的检查资料</w:t>
      </w:r>
      <w:r>
        <w:rPr>
          <w:rFonts w:hint="eastAsia" w:ascii="宋体" w:hAnsi="宋体" w:eastAsia="宋体" w:cs="宋体"/>
          <w:color w:val="auto"/>
          <w:sz w:val="21"/>
          <w:szCs w:val="21"/>
          <w:highlight w:val="none"/>
        </w:rPr>
        <w:t xml:space="preserve">。    </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不能按时进行检查的，应在检查前3小时向承包人提交书面延期要求，但延期不能超过6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监理人不能按时进行检查时，应提前</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小时提交书面延期要求。</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关于延期最长不得超过：</w:t>
      </w:r>
      <w:r>
        <w:rPr>
          <w:rFonts w:hint="eastAsia" w:ascii="宋体" w:hAnsi="宋体" w:eastAsia="宋体" w:cs="宋体"/>
          <w:color w:val="auto"/>
          <w:sz w:val="21"/>
          <w:szCs w:val="21"/>
          <w:highlight w:val="none"/>
          <w:u w:val="single"/>
        </w:rPr>
        <w:t xml:space="preserve"> 6 </w:t>
      </w:r>
      <w:r>
        <w:rPr>
          <w:rFonts w:hint="eastAsia" w:ascii="宋体" w:hAnsi="宋体" w:eastAsia="宋体" w:cs="宋体"/>
          <w:color w:val="auto"/>
          <w:sz w:val="21"/>
          <w:szCs w:val="21"/>
          <w:highlight w:val="none"/>
        </w:rPr>
        <w:t>小时。</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14" w:name="_Toc714606691"/>
      <w:bookmarkStart w:id="1015" w:name="_Toc1885616336"/>
      <w:r>
        <w:rPr>
          <w:rFonts w:hint="eastAsia" w:ascii="宋体" w:hAnsi="宋体" w:eastAsia="宋体" w:cs="宋体"/>
          <w:b w:val="0"/>
          <w:color w:val="auto"/>
          <w:sz w:val="21"/>
          <w:szCs w:val="21"/>
          <w:highlight w:val="none"/>
        </w:rPr>
        <w:t>6. 安全文明施工与环境保护</w:t>
      </w:r>
      <w:bookmarkEnd w:id="1014"/>
      <w:bookmarkEnd w:id="1015"/>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16" w:name="_Toc552749545"/>
      <w:bookmarkStart w:id="1017" w:name="_Toc526548747"/>
      <w:bookmarkStart w:id="1018" w:name="_Toc11638"/>
      <w:r>
        <w:rPr>
          <w:rFonts w:hint="eastAsia" w:ascii="宋体" w:hAnsi="宋体" w:eastAsia="宋体" w:cs="宋体"/>
          <w:color w:val="auto"/>
          <w:sz w:val="21"/>
          <w:szCs w:val="21"/>
          <w:highlight w:val="none"/>
        </w:rPr>
        <w:t>6.1 安全文明施工</w:t>
      </w:r>
      <w:bookmarkEnd w:id="1016"/>
      <w:bookmarkEnd w:id="1017"/>
      <w:bookmarkEnd w:id="1018"/>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 项目安全生产的达标目标及相应事项的约定：</w:t>
      </w:r>
      <w:r>
        <w:rPr>
          <w:rFonts w:hint="eastAsia" w:ascii="宋体" w:cs="宋体"/>
          <w:color w:val="auto"/>
          <w:szCs w:val="21"/>
          <w:u w:val="single"/>
          <w:lang w:val="en-US" w:eastAsia="zh-CN"/>
        </w:rPr>
        <w:t>详见投标文件</w:t>
      </w:r>
      <w:r>
        <w:rPr>
          <w:rFonts w:hint="eastAsia" w:ascii="宋体" w:cs="宋体"/>
          <w:color w:val="auto"/>
          <w:szCs w:val="21"/>
          <w:u w:val="single"/>
        </w:rPr>
        <w:t>。</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6.1.4 关于治安保卫的特别约定：</w:t>
      </w:r>
      <w:r>
        <w:rPr>
          <w:rFonts w:hint="eastAsia" w:ascii="宋体" w:hAnsi="宋体" w:eastAsia="宋体" w:cs="宋体"/>
          <w:color w:val="auto"/>
          <w:sz w:val="21"/>
          <w:szCs w:val="21"/>
          <w:highlight w:val="none"/>
          <w:u w:val="single"/>
        </w:rPr>
        <w:t xml:space="preserve"> 发包人应与当地公安部门协商，在现场建立治安管理机构或联防组织，统一管理施工场地的治安保卫事项，履行合同工程的治安保卫职责。发包人和承包人除应协助现场治安管理机构或联防组织维护施工场地的社会治安外，还应做好包括生活区在内的各自管辖区的治安保卫工作。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关于编制施工场地治安管理计划的约定：</w:t>
      </w:r>
      <w:r>
        <w:rPr>
          <w:rFonts w:hint="eastAsia" w:ascii="宋体" w:hAnsi="宋体" w:eastAsia="宋体" w:cs="宋体"/>
          <w:color w:val="auto"/>
          <w:sz w:val="21"/>
          <w:szCs w:val="21"/>
          <w:highlight w:val="none"/>
          <w:u w:val="single"/>
        </w:rPr>
        <w:t xml:space="preserve">由承包人负责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6.1.5 文明施工</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color w:val="auto"/>
          <w:sz w:val="21"/>
          <w:szCs w:val="21"/>
          <w:highlight w:val="none"/>
          <w:u w:val="single"/>
        </w:rPr>
        <w:t xml:space="preserve">  执行招标文件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19" w:name="_Toc584454933"/>
      <w:bookmarkStart w:id="1020" w:name="_Toc1716959566"/>
      <w:r>
        <w:rPr>
          <w:rFonts w:hint="eastAsia" w:ascii="宋体" w:hAnsi="宋体" w:eastAsia="宋体" w:cs="宋体"/>
          <w:color w:val="auto"/>
          <w:sz w:val="21"/>
          <w:szCs w:val="21"/>
          <w:highlight w:val="none"/>
        </w:rPr>
        <w:t>6.3 环境保护</w:t>
      </w:r>
      <w:bookmarkEnd w:id="1019"/>
      <w:bookmarkEnd w:id="1020"/>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本款补充：</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合同当事人对农药、肥料的使用要求：</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按招标单位要求</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Style w:val="6"/>
        <w:pageBreakBefore w:val="0"/>
        <w:numPr>
          <w:ilvl w:val="0"/>
          <w:numId w:val="6"/>
        </w:numPr>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21" w:name="_Toc309374293"/>
      <w:bookmarkStart w:id="1022" w:name="_Toc1019739217"/>
      <w:r>
        <w:rPr>
          <w:rFonts w:hint="eastAsia" w:ascii="宋体" w:hAnsi="宋体" w:eastAsia="宋体" w:cs="宋体"/>
          <w:b w:val="0"/>
          <w:color w:val="auto"/>
          <w:sz w:val="21"/>
          <w:szCs w:val="21"/>
          <w:highlight w:val="none"/>
        </w:rPr>
        <w:t>工期和进度</w:t>
      </w:r>
      <w:bookmarkEnd w:id="1021"/>
      <w:bookmarkEnd w:id="1022"/>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kern w:val="0"/>
          <w:sz w:val="21"/>
          <w:szCs w:val="21"/>
          <w:highlight w:val="none"/>
        </w:rPr>
      </w:pPr>
      <w:bookmarkStart w:id="1023" w:name="_Toc20685"/>
      <w:bookmarkStart w:id="1024" w:name="_Toc829052215"/>
      <w:bookmarkStart w:id="1025" w:name="_Toc152004302"/>
      <w:r>
        <w:rPr>
          <w:rFonts w:hint="eastAsia" w:ascii="宋体" w:hAnsi="宋体" w:eastAsia="宋体" w:cs="宋体"/>
          <w:color w:val="auto"/>
          <w:sz w:val="21"/>
          <w:szCs w:val="21"/>
          <w:highlight w:val="none"/>
        </w:rPr>
        <w:t>7.1 施工组织设计</w:t>
      </w:r>
      <w:bookmarkEnd w:id="1023"/>
      <w:bookmarkEnd w:id="1024"/>
      <w:bookmarkEnd w:id="1025"/>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kern w:val="0"/>
          <w:sz w:val="21"/>
          <w:szCs w:val="21"/>
          <w:highlight w:val="none"/>
        </w:rPr>
      </w:pPr>
      <w:bookmarkStart w:id="1026" w:name="_Toc856803142"/>
      <w:bookmarkStart w:id="1027" w:name="_Toc1337492230"/>
      <w:r>
        <w:rPr>
          <w:rFonts w:hint="eastAsia" w:ascii="宋体" w:hAnsi="宋体" w:eastAsia="宋体" w:cs="宋体"/>
          <w:color w:val="auto"/>
          <w:kern w:val="0"/>
          <w:sz w:val="21"/>
          <w:szCs w:val="21"/>
          <w:highlight w:val="none"/>
        </w:rPr>
        <w:t xml:space="preserve">7.1.1 </w:t>
      </w:r>
      <w:r>
        <w:rPr>
          <w:rFonts w:hint="eastAsia" w:ascii="宋体" w:hAnsi="宋体" w:eastAsia="宋体" w:cs="宋体"/>
          <w:color w:val="auto"/>
          <w:sz w:val="21"/>
          <w:szCs w:val="21"/>
          <w:highlight w:val="none"/>
        </w:rPr>
        <w:t>工程涉及以下内容的，合</w:t>
      </w:r>
      <w:r>
        <w:rPr>
          <w:rFonts w:hint="eastAsia" w:ascii="宋体" w:hAnsi="宋体" w:eastAsia="宋体" w:cs="宋体"/>
          <w:color w:val="auto"/>
          <w:kern w:val="0"/>
          <w:sz w:val="21"/>
          <w:szCs w:val="21"/>
          <w:highlight w:val="none"/>
        </w:rPr>
        <w:t>同当事人约定的施工组织设计还应包括此类工程内容的专项施工方案：</w:t>
      </w:r>
      <w:bookmarkEnd w:id="1026"/>
      <w:bookmarkEnd w:id="1027"/>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28" w:name="_Toc1488833316"/>
      <w:bookmarkStart w:id="1029" w:name="_Toc650023867"/>
      <w:r>
        <w:rPr>
          <w:rFonts w:hint="eastAsia" w:ascii="宋体" w:hAnsi="宋体" w:eastAsia="宋体" w:cs="宋体"/>
          <w:color w:val="auto"/>
          <w:sz w:val="21"/>
          <w:szCs w:val="21"/>
          <w:highlight w:val="none"/>
        </w:rPr>
        <w:sym w:font="Wingdings" w:char="F0A8"/>
      </w:r>
      <w:r>
        <w:rPr>
          <w:rFonts w:hint="eastAsia" w:ascii="宋体" w:hAnsi="宋体" w:eastAsia="宋体" w:cs="宋体"/>
          <w:color w:val="auto"/>
          <w:sz w:val="21"/>
          <w:szCs w:val="21"/>
          <w:highlight w:val="none"/>
        </w:rPr>
        <w:t>现状树木保护；</w:t>
      </w:r>
      <w:bookmarkEnd w:id="1028"/>
      <w:bookmarkEnd w:id="1029"/>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30" w:name="_Toc266056742"/>
      <w:bookmarkStart w:id="1031" w:name="_Toc382208328"/>
      <w:r>
        <w:rPr>
          <w:rFonts w:hint="eastAsia" w:ascii="宋体" w:hAnsi="宋体" w:eastAsia="宋体" w:cs="宋体"/>
          <w:color w:val="auto"/>
          <w:sz w:val="21"/>
          <w:szCs w:val="21"/>
          <w:highlight w:val="none"/>
        </w:rPr>
        <w:sym w:font="Wingdings" w:char="F0A8"/>
      </w:r>
      <w:r>
        <w:rPr>
          <w:rFonts w:hint="eastAsia" w:ascii="宋体" w:hAnsi="宋体" w:eastAsia="宋体" w:cs="宋体"/>
          <w:color w:val="auto"/>
          <w:sz w:val="21"/>
          <w:szCs w:val="21"/>
          <w:highlight w:val="none"/>
        </w:rPr>
        <w:t>古树名木保护;</w:t>
      </w:r>
      <w:bookmarkEnd w:id="1030"/>
      <w:bookmarkEnd w:id="1031"/>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32" w:name="_Toc1137515080"/>
      <w:bookmarkStart w:id="1033" w:name="_Toc1350692319"/>
      <w:r>
        <w:rPr>
          <w:rFonts w:hint="eastAsia" w:ascii="宋体" w:hAnsi="宋体" w:eastAsia="宋体" w:cs="宋体"/>
          <w:color w:val="auto"/>
          <w:sz w:val="21"/>
          <w:szCs w:val="21"/>
          <w:highlight w:val="none"/>
        </w:rPr>
        <w:sym w:font="Wingdings" w:char="F0A8"/>
      </w:r>
      <w:r>
        <w:rPr>
          <w:rFonts w:hint="eastAsia" w:ascii="宋体" w:hAnsi="宋体" w:eastAsia="宋体" w:cs="宋体"/>
          <w:color w:val="auto"/>
          <w:sz w:val="21"/>
          <w:szCs w:val="21"/>
          <w:highlight w:val="none"/>
        </w:rPr>
        <w:t>土壤改良;</w:t>
      </w:r>
      <w:bookmarkEnd w:id="1032"/>
      <w:bookmarkEnd w:id="1033"/>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kern w:val="0"/>
          <w:sz w:val="21"/>
          <w:szCs w:val="21"/>
          <w:highlight w:val="none"/>
        </w:rPr>
      </w:pPr>
      <w:bookmarkStart w:id="1034" w:name="_Toc1673538922"/>
      <w:bookmarkStart w:id="1035" w:name="_Toc630504734"/>
      <w:r>
        <w:rPr>
          <w:rFonts w:hint="eastAsia" w:ascii="宋体" w:hAnsi="宋体" w:eastAsia="宋体" w:cs="宋体"/>
          <w:color w:val="auto"/>
          <w:sz w:val="21"/>
          <w:szCs w:val="21"/>
          <w:highlight w:val="none"/>
        </w:rPr>
        <w:sym w:font="Wingdings" w:char="F0A8"/>
      </w:r>
      <w:r>
        <w:rPr>
          <w:rFonts w:hint="eastAsia" w:ascii="宋体" w:hAnsi="宋体" w:eastAsia="宋体" w:cs="宋体"/>
          <w:color w:val="auto"/>
          <w:sz w:val="21"/>
          <w:szCs w:val="21"/>
          <w:highlight w:val="none"/>
        </w:rPr>
        <w:t>其他内容：</w:t>
      </w:r>
      <w:r>
        <w:rPr>
          <w:rFonts w:hint="eastAsia" w:ascii="宋体" w:hAnsi="宋体" w:eastAsia="宋体" w:cs="宋体"/>
          <w:color w:val="auto"/>
          <w:sz w:val="21"/>
          <w:szCs w:val="21"/>
          <w:highlight w:val="none"/>
          <w:u w:val="single"/>
        </w:rPr>
        <w:t>本工程需按照总进度计划编制每月施工进度计划，经监理、发包人审批后作为进度考核和进度款支付的依据</w:t>
      </w:r>
      <w:r>
        <w:rPr>
          <w:rFonts w:hint="eastAsia" w:ascii="宋体" w:hAnsi="宋体" w:eastAsia="宋体" w:cs="宋体"/>
          <w:color w:val="auto"/>
          <w:sz w:val="21"/>
          <w:szCs w:val="21"/>
          <w:highlight w:val="none"/>
        </w:rPr>
        <w:t>。</w:t>
      </w:r>
      <w:bookmarkEnd w:id="1034"/>
      <w:bookmarkEnd w:id="1035"/>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 xml:space="preserve">7.1.2 </w:t>
      </w:r>
      <w:r>
        <w:rPr>
          <w:rFonts w:hint="eastAsia" w:ascii="宋体" w:hAnsi="宋体" w:eastAsia="宋体" w:cs="宋体"/>
          <w:color w:val="auto"/>
          <w:kern w:val="0"/>
          <w:sz w:val="21"/>
          <w:szCs w:val="21"/>
          <w:highlight w:val="none"/>
        </w:rPr>
        <w:t>施工组织设计的提交和修改</w:t>
      </w:r>
    </w:p>
    <w:p>
      <w:pPr>
        <w:pageBreakBefore w:val="0"/>
        <w:kinsoku/>
        <w:wordWrap/>
        <w:overflowPunct/>
        <w:topLinePunct w:val="0"/>
        <w:autoSpaceDE w:val="0"/>
        <w:autoSpaceDN w:val="0"/>
        <w:bidi w:val="0"/>
        <w:adjustRightInd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承包人提交详细施工组织设计的期限的约定：</w:t>
      </w:r>
      <w:r>
        <w:rPr>
          <w:rFonts w:hint="eastAsia" w:ascii="宋体" w:hAnsi="宋体" w:eastAsia="宋体" w:cs="宋体"/>
          <w:color w:val="auto"/>
          <w:sz w:val="21"/>
          <w:szCs w:val="21"/>
          <w:highlight w:val="none"/>
          <w:u w:val="single"/>
        </w:rPr>
        <w:t>图纸会审及设计交底后一周内提供标后实施性施工组织设计</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发包人和监理人在收到详细的施工组织设计后确认或提出修改意见的期限：</w:t>
      </w:r>
      <w:r>
        <w:rPr>
          <w:rFonts w:hint="eastAsia" w:ascii="宋体" w:hAnsi="宋体" w:eastAsia="宋体" w:cs="宋体"/>
          <w:color w:val="auto"/>
          <w:sz w:val="21"/>
          <w:szCs w:val="21"/>
          <w:highlight w:val="none"/>
          <w:u w:val="single"/>
        </w:rPr>
        <w:t xml:space="preserve"> 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36" w:name="_Toc1986698096"/>
      <w:bookmarkStart w:id="1037" w:name="_Toc117950900"/>
      <w:bookmarkStart w:id="1038" w:name="_Toc20355"/>
      <w:r>
        <w:rPr>
          <w:rFonts w:hint="eastAsia" w:ascii="宋体" w:hAnsi="宋体" w:eastAsia="宋体" w:cs="宋体"/>
          <w:color w:val="auto"/>
          <w:sz w:val="21"/>
          <w:szCs w:val="21"/>
          <w:highlight w:val="none"/>
        </w:rPr>
        <w:t>7.5 工期延误</w:t>
      </w:r>
      <w:bookmarkEnd w:id="1036"/>
      <w:bookmarkEnd w:id="1037"/>
      <w:bookmarkEnd w:id="1038"/>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7.5.1 因发包人原因导致工期延误</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（7）因发包人原因导致工期延误的其他情形：</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7.5.2 因承包人原因导致工期延误</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因</w:t>
      </w:r>
      <w:bookmarkStart w:id="1039" w:name="_Toc312678013"/>
      <w:bookmarkStart w:id="1040" w:name="_Toc312677487"/>
      <w:bookmarkStart w:id="1041" w:name="_Toc318581170"/>
      <w:r>
        <w:rPr>
          <w:rFonts w:hint="eastAsia" w:ascii="宋体" w:hAnsi="宋体" w:eastAsia="宋体" w:cs="宋体"/>
          <w:color w:val="auto"/>
          <w:sz w:val="21"/>
          <w:szCs w:val="21"/>
          <w:highlight w:val="none"/>
        </w:rPr>
        <w:t>承包人原因造成工期延误，逾期竣工违约金的计算方法为：</w:t>
      </w:r>
      <w:r>
        <w:rPr>
          <w:rFonts w:hint="eastAsia" w:ascii="宋体" w:hAnsi="宋体" w:eastAsia="宋体" w:cs="宋体"/>
          <w:color w:val="auto"/>
          <w:sz w:val="21"/>
          <w:szCs w:val="21"/>
          <w:highlight w:val="none"/>
          <w:u w:val="single"/>
        </w:rPr>
        <w:t xml:space="preserve"> 因承包人原因造成合同工期延误，每延误一天，处以</w:t>
      </w:r>
      <w:r>
        <w:rPr>
          <w:rFonts w:hint="eastAsia" w:ascii="宋体" w:hAnsi="宋体" w:eastAsia="宋体" w:cs="宋体"/>
          <w:color w:val="auto"/>
          <w:sz w:val="21"/>
          <w:szCs w:val="21"/>
          <w:highlight w:val="none"/>
          <w:u w:val="single"/>
          <w:lang w:val="en-US" w:eastAsia="zh-CN"/>
        </w:rPr>
        <w:t>1000</w:t>
      </w:r>
      <w:r>
        <w:rPr>
          <w:rFonts w:hint="eastAsia" w:ascii="宋体" w:hAnsi="宋体" w:eastAsia="宋体" w:cs="宋体"/>
          <w:color w:val="auto"/>
          <w:sz w:val="21"/>
          <w:szCs w:val="21"/>
          <w:highlight w:val="none"/>
          <w:u w:val="single"/>
        </w:rPr>
        <w:t>元违约金；</w:t>
      </w:r>
      <w:bookmarkEnd w:id="1039"/>
      <w:bookmarkEnd w:id="1040"/>
    </w:p>
    <w:bookmarkEnd w:id="1041"/>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因承包人原因造成工期延误，逾</w:t>
      </w:r>
      <w:bookmarkStart w:id="1042" w:name="_Toc312678014"/>
      <w:bookmarkStart w:id="1043" w:name="_Toc318581171"/>
      <w:r>
        <w:rPr>
          <w:rFonts w:hint="eastAsia" w:ascii="宋体" w:hAnsi="宋体" w:eastAsia="宋体" w:cs="宋体"/>
          <w:color w:val="auto"/>
          <w:sz w:val="21"/>
          <w:szCs w:val="21"/>
          <w:highlight w:val="none"/>
        </w:rPr>
        <w:t>期竣工违约金的上限：</w:t>
      </w:r>
      <w:r>
        <w:rPr>
          <w:rFonts w:hint="eastAsia" w:ascii="宋体" w:hAnsi="宋体" w:eastAsia="宋体" w:cs="宋体"/>
          <w:color w:val="auto"/>
          <w:sz w:val="21"/>
          <w:szCs w:val="21"/>
          <w:highlight w:val="none"/>
          <w:u w:val="single"/>
        </w:rPr>
        <w:t>全额履约保证金</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业主单位根据拖延工期的严重程度采用以下方法处理:</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（1）督促承包人采取有效的赶工措施（费用自理）；</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发包人根据本项目总体施工计划对工程各分部分项工程的进度目标确定之后，承包人应采取各种措施确保本合同内各分部分项工程进度目标的实现，如果在工程实施某个分部分项工程，承包人的实际进度滞后该分部分项工程进度目标7天以上，并无法确保该分部分项工程进度目标的完成或承包人虽采取了一些措施，但仍无法按交工期交工时，监理工程师应立即通知发包人，并抄送承包人。发包人向承包人发出书面警告通知3天后，发包人有权终止合同，也可将本合同工程中的一部分或剩余工作交由其他承包人或指定分包人完成，因此所增加的一切费用由原承包人承担。</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3）对严重拖延工期，经发包人多次督促，承包人拒不执行的，发包人可中止施工合同，并和承包人进行清算。同时按原中标价格另选同样资质的施工队伍进场施工，原承包人须无条件配合，不得以任何借口阻挠另选的施工队伍施工，不得向发包人提出任何索赔要求，详见补充条款。</w:t>
      </w:r>
    </w:p>
    <w:bookmarkEnd w:id="1042"/>
    <w:bookmarkEnd w:id="1043"/>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44" w:name="_Toc1290932324"/>
      <w:bookmarkStart w:id="1045" w:name="_Toc1981848881"/>
      <w:r>
        <w:rPr>
          <w:rFonts w:hint="eastAsia" w:ascii="宋体" w:hAnsi="宋体" w:eastAsia="宋体" w:cs="宋体"/>
          <w:b w:val="0"/>
          <w:color w:val="auto"/>
          <w:sz w:val="21"/>
          <w:szCs w:val="21"/>
          <w:highlight w:val="none"/>
        </w:rPr>
        <w:t>8. 材料与设备</w:t>
      </w:r>
      <w:bookmarkEnd w:id="1044"/>
      <w:bookmarkEnd w:id="1045"/>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46" w:name="_Toc1549169060"/>
      <w:bookmarkStart w:id="1047" w:name="_Toc1878"/>
      <w:bookmarkStart w:id="1048" w:name="_Toc489553729"/>
      <w:r>
        <w:rPr>
          <w:rFonts w:hint="eastAsia" w:ascii="宋体" w:hAnsi="宋体" w:eastAsia="宋体" w:cs="宋体"/>
          <w:color w:val="auto"/>
          <w:sz w:val="21"/>
          <w:szCs w:val="21"/>
          <w:highlight w:val="none"/>
        </w:rPr>
        <w:t>8.4 材料与工程设备的保管与使用</w:t>
      </w:r>
      <w:bookmarkEnd w:id="1046"/>
      <w:bookmarkEnd w:id="1047"/>
      <w:bookmarkEnd w:id="1048"/>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8.4.1 发包人供应的苗木、材料设备的保管费用的承担：</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49" w:name="_Toc15421"/>
      <w:bookmarkStart w:id="1050" w:name="_Toc1602926888"/>
      <w:bookmarkStart w:id="1051" w:name="_Toc1698965056"/>
      <w:r>
        <w:rPr>
          <w:rFonts w:hint="eastAsia" w:ascii="宋体" w:hAnsi="宋体" w:eastAsia="宋体" w:cs="宋体"/>
          <w:color w:val="auto"/>
          <w:sz w:val="21"/>
          <w:szCs w:val="21"/>
          <w:highlight w:val="none"/>
        </w:rPr>
        <w:t>8.6 样品</w:t>
      </w:r>
      <w:bookmarkEnd w:id="1049"/>
      <w:bookmarkEnd w:id="1050"/>
      <w:bookmarkEnd w:id="1051"/>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kern w:val="0"/>
          <w:sz w:val="21"/>
          <w:szCs w:val="21"/>
          <w:highlight w:val="none"/>
        </w:rPr>
      </w:pPr>
      <w:bookmarkStart w:id="1052" w:name="_Toc155224400"/>
      <w:bookmarkStart w:id="1053" w:name="_Toc658422827"/>
      <w:r>
        <w:rPr>
          <w:rFonts w:hint="eastAsia" w:ascii="宋体" w:hAnsi="宋体" w:eastAsia="宋体" w:cs="宋体"/>
          <w:color w:val="auto"/>
          <w:kern w:val="0"/>
          <w:sz w:val="21"/>
          <w:szCs w:val="21"/>
          <w:highlight w:val="none"/>
        </w:rPr>
        <w:t>8.6.1 样品的报送与封存</w:t>
      </w:r>
      <w:bookmarkEnd w:id="1052"/>
      <w:bookmarkEnd w:id="1053"/>
    </w:p>
    <w:p>
      <w:pPr>
        <w:pageBreakBefore w:val="0"/>
        <w:kinsoku/>
        <w:wordWrap/>
        <w:overflowPunct/>
        <w:topLinePunct w:val="0"/>
        <w:autoSpaceDE w:val="0"/>
        <w:autoSpaceDN w:val="0"/>
        <w:bidi w:val="0"/>
        <w:adjustRightInd w:val="0"/>
        <w:spacing w:line="312" w:lineRule="auto"/>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需要承包人报送样品的材料或工程设备，样品的种类、名称、规格、数量要求：</w:t>
      </w:r>
      <w:r>
        <w:rPr>
          <w:rFonts w:hint="eastAsia" w:ascii="宋体" w:hAnsi="宋体" w:eastAsia="宋体" w:cs="宋体"/>
          <w:color w:val="auto"/>
          <w:sz w:val="21"/>
          <w:szCs w:val="21"/>
          <w:highlight w:val="none"/>
          <w:u w:val="single"/>
        </w:rPr>
        <w:t xml:space="preserve">  执行招标文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54" w:name="_Toc1156517039"/>
      <w:bookmarkStart w:id="1055" w:name="_Toc268737114"/>
      <w:bookmarkStart w:id="1056" w:name="_Toc22773"/>
      <w:r>
        <w:rPr>
          <w:rFonts w:hint="eastAsia" w:ascii="宋体" w:hAnsi="宋体" w:eastAsia="宋体" w:cs="宋体"/>
          <w:color w:val="auto"/>
          <w:sz w:val="21"/>
          <w:szCs w:val="21"/>
          <w:highlight w:val="none"/>
        </w:rPr>
        <w:t>8.8 施工设备和临时设施</w:t>
      </w:r>
      <w:bookmarkEnd w:id="1054"/>
      <w:bookmarkEnd w:id="1055"/>
      <w:bookmarkEnd w:id="1056"/>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8.8.1 承包人提供的施工设备和临时设施</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关于修建临时设施费用承担的约定：</w:t>
      </w:r>
      <w:r>
        <w:rPr>
          <w:rFonts w:hint="eastAsia" w:ascii="宋体" w:hAnsi="宋体" w:eastAsia="宋体" w:cs="宋体"/>
          <w:color w:val="auto"/>
          <w:sz w:val="21"/>
          <w:szCs w:val="21"/>
          <w:highlight w:val="none"/>
          <w:u w:val="single"/>
        </w:rPr>
        <w:t>由承包人自行承担费用</w:t>
      </w:r>
      <w:bookmarkStart w:id="1057" w:name="_Toc267251442"/>
      <w:r>
        <w:rPr>
          <w:rFonts w:hint="eastAsia" w:ascii="宋体" w:hAnsi="宋体" w:eastAsia="宋体" w:cs="宋体"/>
          <w:color w:val="auto"/>
          <w:sz w:val="21"/>
          <w:szCs w:val="21"/>
          <w:highlight w:val="none"/>
        </w:rPr>
        <w:t>。</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58" w:name="_Toc242413721"/>
      <w:bookmarkStart w:id="1059" w:name="_Toc1764962496"/>
      <w:r>
        <w:rPr>
          <w:rFonts w:hint="eastAsia" w:ascii="宋体" w:hAnsi="宋体" w:eastAsia="宋体" w:cs="宋体"/>
          <w:b w:val="0"/>
          <w:color w:val="auto"/>
          <w:sz w:val="21"/>
          <w:szCs w:val="21"/>
          <w:highlight w:val="none"/>
        </w:rPr>
        <w:t>9. 试验与检验</w:t>
      </w:r>
      <w:bookmarkEnd w:id="1058"/>
      <w:bookmarkEnd w:id="1059"/>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60" w:name="_Toc653733895"/>
      <w:bookmarkStart w:id="1061" w:name="_Toc351203565"/>
      <w:bookmarkStart w:id="1062" w:name="_Toc1351090379"/>
      <w:bookmarkStart w:id="1063" w:name="_Toc6956"/>
      <w:r>
        <w:rPr>
          <w:rFonts w:hint="eastAsia" w:ascii="宋体" w:hAnsi="宋体" w:eastAsia="宋体" w:cs="宋体"/>
          <w:color w:val="auto"/>
          <w:sz w:val="21"/>
          <w:szCs w:val="21"/>
          <w:highlight w:val="none"/>
        </w:rPr>
        <w:t>9</w:t>
      </w:r>
      <w:bookmarkStart w:id="1064" w:name="_Toc337558785"/>
      <w:r>
        <w:rPr>
          <w:rFonts w:hint="eastAsia" w:ascii="宋体" w:hAnsi="宋体" w:eastAsia="宋体" w:cs="宋体"/>
          <w:color w:val="auto"/>
          <w:sz w:val="21"/>
          <w:szCs w:val="21"/>
          <w:highlight w:val="none"/>
        </w:rPr>
        <w:t>.3 材料、工程设备和工程的试验和检验</w:t>
      </w:r>
      <w:bookmarkEnd w:id="1060"/>
      <w:bookmarkEnd w:id="1061"/>
      <w:bookmarkEnd w:id="1062"/>
      <w:bookmarkEnd w:id="1064"/>
    </w:p>
    <w:bookmarkEnd w:id="1063"/>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9.1试验设备与试验人员</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9.1.2 试验设备</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施工现场需要配置的试验场所：</w:t>
      </w:r>
      <w:r>
        <w:rPr>
          <w:rFonts w:hint="eastAsia" w:ascii="宋体" w:hAnsi="宋体" w:eastAsia="宋体" w:cs="宋体"/>
          <w:color w:val="auto"/>
          <w:sz w:val="21"/>
          <w:szCs w:val="21"/>
          <w:highlight w:val="none"/>
          <w:u w:val="single"/>
        </w:rPr>
        <w:t>执行招标文件</w:t>
      </w:r>
      <w:r>
        <w:rPr>
          <w:rFonts w:hint="eastAsia" w:ascii="宋体" w:hAnsi="宋体" w:eastAsia="宋体" w:cs="宋体"/>
          <w:color w:val="auto"/>
          <w:sz w:val="21"/>
          <w:szCs w:val="21"/>
          <w:highlight w:val="none"/>
        </w:rPr>
        <w:t xml:space="preserve">。 </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施工现场需要配备的试验设备： </w:t>
      </w:r>
      <w:r>
        <w:rPr>
          <w:rFonts w:hint="eastAsia" w:ascii="宋体" w:hAnsi="宋体" w:eastAsia="宋体" w:cs="宋体"/>
          <w:color w:val="auto"/>
          <w:sz w:val="21"/>
          <w:szCs w:val="21"/>
          <w:highlight w:val="none"/>
          <w:u w:val="single"/>
        </w:rPr>
        <w:t>执行招标文件</w:t>
      </w:r>
      <w:r>
        <w:rPr>
          <w:rFonts w:hint="eastAsia" w:ascii="宋体" w:hAnsi="宋体" w:eastAsia="宋体" w:cs="宋体"/>
          <w:color w:val="auto"/>
          <w:sz w:val="21"/>
          <w:szCs w:val="21"/>
          <w:highlight w:val="none"/>
        </w:rPr>
        <w:t>。</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施工现场需要具备的其他试验条件：</w:t>
      </w:r>
      <w:r>
        <w:rPr>
          <w:rFonts w:hint="eastAsia" w:ascii="宋体" w:hAnsi="宋体" w:eastAsia="宋体" w:cs="宋体"/>
          <w:color w:val="auto"/>
          <w:sz w:val="21"/>
          <w:szCs w:val="21"/>
          <w:highlight w:val="none"/>
          <w:u w:val="single"/>
        </w:rPr>
        <w:t>执行招标文件</w:t>
      </w:r>
      <w:r>
        <w:rPr>
          <w:rFonts w:hint="eastAsia" w:ascii="宋体" w:hAnsi="宋体" w:eastAsia="宋体" w:cs="宋体"/>
          <w:color w:val="auto"/>
          <w:sz w:val="21"/>
          <w:szCs w:val="21"/>
          <w:highlight w:val="none"/>
        </w:rPr>
        <w:t>。</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9.3.4 关于送检材料的约定：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执行市政工程送检规定</w:t>
      </w:r>
      <w:r>
        <w:rPr>
          <w:rFonts w:hint="eastAsia" w:ascii="宋体" w:hAnsi="宋体" w:eastAsia="宋体" w:cs="宋体"/>
          <w:color w:val="auto"/>
          <w:sz w:val="21"/>
          <w:szCs w:val="21"/>
          <w:highlight w:val="none"/>
        </w:rPr>
        <w:t>。</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9.4 现场工艺试验 </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现场工艺试验的有关约定</w:t>
      </w:r>
      <w:r>
        <w:rPr>
          <w:rFonts w:hint="eastAsia" w:ascii="宋体" w:hAnsi="宋体" w:eastAsia="宋体" w:cs="宋体"/>
          <w:color w:val="auto"/>
          <w:sz w:val="21"/>
          <w:szCs w:val="21"/>
          <w:highlight w:val="none"/>
          <w:u w:val="single"/>
        </w:rPr>
        <w:t xml:space="preserve">：   按监理人指示   </w:t>
      </w:r>
      <w:r>
        <w:rPr>
          <w:rFonts w:hint="eastAsia" w:ascii="宋体" w:hAnsi="宋体" w:eastAsia="宋体" w:cs="宋体"/>
          <w:color w:val="auto"/>
          <w:sz w:val="21"/>
          <w:szCs w:val="21"/>
          <w:highlight w:val="none"/>
        </w:rPr>
        <w:t xml:space="preserve"> 。</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65" w:name="_Toc458560564"/>
      <w:bookmarkStart w:id="1066" w:name="_Toc334823199"/>
      <w:r>
        <w:rPr>
          <w:rFonts w:hint="eastAsia" w:ascii="宋体" w:hAnsi="宋体" w:eastAsia="宋体" w:cs="宋体"/>
          <w:b w:val="0"/>
          <w:color w:val="auto"/>
          <w:sz w:val="21"/>
          <w:szCs w:val="21"/>
          <w:highlight w:val="none"/>
        </w:rPr>
        <w:t>10. 变更</w:t>
      </w:r>
      <w:bookmarkEnd w:id="1065"/>
      <w:bookmarkEnd w:id="1066"/>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67" w:name="_Toc893189784"/>
      <w:bookmarkStart w:id="1068" w:name="_Toc2124203747"/>
      <w:bookmarkStart w:id="1069" w:name="_Toc7749"/>
      <w:r>
        <w:rPr>
          <w:rFonts w:hint="eastAsia" w:ascii="宋体" w:hAnsi="宋体" w:eastAsia="宋体" w:cs="宋体"/>
          <w:color w:val="auto"/>
          <w:sz w:val="21"/>
          <w:szCs w:val="21"/>
          <w:highlight w:val="none"/>
        </w:rPr>
        <w:t>10.1 变更的范围</w:t>
      </w:r>
      <w:bookmarkEnd w:id="1067"/>
      <w:bookmarkEnd w:id="1068"/>
      <w:bookmarkEnd w:id="1069"/>
    </w:p>
    <w:p>
      <w:pPr>
        <w:pageBreakBefore w:val="0"/>
        <w:kinsoku/>
        <w:wordWrap/>
        <w:overflowPunct/>
        <w:topLinePunct w:val="0"/>
        <w:bidi w:val="0"/>
        <w:spacing w:line="312" w:lineRule="auto"/>
        <w:ind w:firstLine="6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关于变更的范围的约定：</w:t>
      </w:r>
      <w:r>
        <w:rPr>
          <w:rFonts w:hint="eastAsia" w:ascii="宋体" w:hAnsi="宋体" w:eastAsia="宋体" w:cs="宋体"/>
          <w:color w:val="auto"/>
          <w:sz w:val="21"/>
          <w:szCs w:val="21"/>
          <w:highlight w:val="none"/>
          <w:u w:val="single"/>
        </w:rPr>
        <w:t xml:space="preserve">  执行合同通用条款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70" w:name="_Toc345483340"/>
      <w:bookmarkStart w:id="1071" w:name="_Toc1702387786"/>
      <w:bookmarkStart w:id="1072" w:name="_Toc16117"/>
      <w:r>
        <w:rPr>
          <w:rFonts w:hint="eastAsia" w:ascii="宋体" w:hAnsi="宋体" w:eastAsia="宋体" w:cs="宋体"/>
          <w:color w:val="auto"/>
          <w:sz w:val="21"/>
          <w:szCs w:val="21"/>
          <w:highlight w:val="none"/>
        </w:rPr>
        <w:t>10.4 变更估价</w:t>
      </w:r>
      <w:bookmarkEnd w:id="1070"/>
      <w:bookmarkEnd w:id="1071"/>
      <w:bookmarkEnd w:id="1072"/>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关于变更估价的约定: </w:t>
      </w:r>
      <w:r>
        <w:rPr>
          <w:rFonts w:hint="eastAsia" w:ascii="宋体" w:hAnsi="宋体" w:eastAsia="宋体" w:cs="宋体"/>
          <w:b/>
          <w:bCs/>
          <w:color w:val="auto"/>
          <w:sz w:val="21"/>
          <w:szCs w:val="21"/>
          <w:highlight w:val="none"/>
          <w:u w:val="single"/>
          <w:lang w:val="en-US" w:eastAsia="zh-CN"/>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10.4.3 变更估价的支付方式及时间</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关于变更价款的支付方式及时间的约定：</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73" w:name="_Toc2102284973"/>
      <w:bookmarkStart w:id="1074" w:name="_Toc900110438"/>
      <w:r>
        <w:rPr>
          <w:rFonts w:hint="eastAsia" w:ascii="宋体" w:hAnsi="宋体" w:eastAsia="宋体" w:cs="宋体"/>
          <w:color w:val="auto"/>
          <w:sz w:val="21"/>
          <w:szCs w:val="21"/>
          <w:highlight w:val="none"/>
        </w:rPr>
        <w:t>10.5 承包人的合理化建议</w:t>
      </w:r>
      <w:bookmarkEnd w:id="1073"/>
      <w:bookmarkEnd w:id="1074"/>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监理人审查承包人合理化建议的期限：</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发包人审批承包人合理化建议的期限：</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承包人提出的合理化建议降低了合同价格或者提高了工程经济效益的奖励的方法和金额为：</w:t>
      </w:r>
      <w:r>
        <w:rPr>
          <w:rFonts w:hint="eastAsia" w:ascii="宋体" w:hAnsi="宋体" w:eastAsia="宋体" w:cs="宋体"/>
          <w:color w:val="auto"/>
          <w:sz w:val="21"/>
          <w:szCs w:val="21"/>
          <w:highlight w:val="none"/>
          <w:u w:val="single"/>
        </w:rPr>
        <w:t>由发包人根据合同价格降低额或工程经济效益提高承担，结合项目考勤、质量、安全、进度等实际情况综合考虑</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75" w:name="_Toc1308"/>
      <w:bookmarkStart w:id="1076" w:name="_Toc1821307230"/>
      <w:bookmarkStart w:id="1077" w:name="_Toc1569203092"/>
      <w:r>
        <w:rPr>
          <w:rFonts w:hint="eastAsia" w:ascii="宋体" w:hAnsi="宋体" w:eastAsia="宋体" w:cs="宋体"/>
          <w:color w:val="auto"/>
          <w:sz w:val="21"/>
          <w:szCs w:val="21"/>
          <w:highlight w:val="none"/>
        </w:rPr>
        <w:t>10.7 暂估价</w:t>
      </w:r>
      <w:bookmarkEnd w:id="1075"/>
      <w:bookmarkEnd w:id="1076"/>
      <w:bookmarkEnd w:id="1077"/>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暂估价材料的明细详见附件3：《</w:t>
      </w:r>
      <w:r>
        <w:rPr>
          <w:rFonts w:hint="eastAsia" w:ascii="宋体" w:hAnsi="宋体" w:eastAsia="宋体" w:cs="宋体"/>
          <w:color w:val="auto"/>
          <w:sz w:val="21"/>
          <w:szCs w:val="21"/>
          <w:highlight w:val="none"/>
        </w:rPr>
        <w:t>暂估价一览表》</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10.7.1 依法必须招标的暂估价项目</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对于依法必须招标的暂估价项目的确认和批准采取通用合同条款中第</w:t>
      </w:r>
      <w:r>
        <w:rPr>
          <w:rFonts w:hint="eastAsia" w:ascii="宋体" w:hAnsi="宋体" w:eastAsia="宋体" w:cs="宋体"/>
          <w:color w:val="auto"/>
          <w:sz w:val="21"/>
          <w:szCs w:val="21"/>
          <w:highlight w:val="none"/>
          <w:u w:val="single"/>
        </w:rPr>
        <w:t xml:space="preserve"> 2 </w:t>
      </w:r>
      <w:r>
        <w:rPr>
          <w:rFonts w:hint="eastAsia" w:ascii="宋体" w:hAnsi="宋体" w:eastAsia="宋体" w:cs="宋体"/>
          <w:color w:val="auto"/>
          <w:sz w:val="21"/>
          <w:szCs w:val="21"/>
          <w:highlight w:val="none"/>
        </w:rPr>
        <w:t>种方式确定。</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10.7.2 不属于依法必须招标的暂估价项目</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cs="宋体"/>
          <w:color w:val="auto"/>
          <w:szCs w:val="21"/>
          <w:u w:val="single"/>
        </w:rPr>
        <w:t>对于不属于依法必须招标的暂估价项目的确认和批准采取询价或共同招标方式确定。</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第3种方式：</w:t>
      </w:r>
      <w:r>
        <w:rPr>
          <w:rFonts w:hint="eastAsia" w:ascii="宋体" w:hAnsi="宋体" w:eastAsia="宋体" w:cs="宋体"/>
          <w:color w:val="auto"/>
          <w:kern w:val="0"/>
          <w:sz w:val="21"/>
          <w:szCs w:val="21"/>
          <w:highlight w:val="none"/>
        </w:rPr>
        <w:t>承包人直接实施的暂估价项目</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承包人直接实施的暂估价项目的约定：</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 暂列金额</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合同当事人关于暂列金额使用的约定：</w:t>
      </w:r>
      <w:r>
        <w:rPr>
          <w:rFonts w:hint="eastAsia" w:ascii="宋体" w:hAnsi="宋体" w:eastAsia="宋体" w:cs="宋体"/>
          <w:color w:val="auto"/>
          <w:sz w:val="21"/>
          <w:szCs w:val="21"/>
          <w:highlight w:val="none"/>
          <w:u w:val="single"/>
        </w:rPr>
        <w:t xml:space="preserve"> 暂列金额应按照发包人的要求使用  </w:t>
      </w:r>
      <w:r>
        <w:rPr>
          <w:rFonts w:hint="eastAsia" w:ascii="宋体" w:hAnsi="宋体" w:eastAsia="宋体" w:cs="宋体"/>
          <w:color w:val="auto"/>
          <w:sz w:val="21"/>
          <w:szCs w:val="21"/>
          <w:highlight w:val="none"/>
        </w:rPr>
        <w:t>。</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78" w:name="_Toc17442182"/>
      <w:bookmarkStart w:id="1079" w:name="_Toc1637898606"/>
      <w:r>
        <w:rPr>
          <w:rFonts w:hint="eastAsia" w:ascii="宋体" w:hAnsi="宋体" w:eastAsia="宋体" w:cs="宋体"/>
          <w:b w:val="0"/>
          <w:color w:val="auto"/>
          <w:sz w:val="21"/>
          <w:szCs w:val="21"/>
          <w:highlight w:val="none"/>
        </w:rPr>
        <w:t>11. 价格调整</w:t>
      </w:r>
      <w:bookmarkEnd w:id="1078"/>
      <w:bookmarkEnd w:id="1079"/>
      <w:r>
        <w:rPr>
          <w:rFonts w:hint="eastAsia" w:ascii="宋体" w:hAnsi="宋体" w:eastAsia="宋体" w:cs="宋体"/>
          <w:b w:val="0"/>
          <w:color w:val="auto"/>
          <w:sz w:val="21"/>
          <w:szCs w:val="21"/>
          <w:highlight w:val="none"/>
        </w:rPr>
        <w:t xml:space="preserve"> </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80" w:name="_Toc1614717129"/>
      <w:bookmarkStart w:id="1081" w:name="_Toc1840417661"/>
      <w:bookmarkStart w:id="1082" w:name="_Toc31698"/>
      <w:r>
        <w:rPr>
          <w:rFonts w:hint="eastAsia" w:ascii="宋体" w:hAnsi="宋体" w:eastAsia="宋体" w:cs="宋体"/>
          <w:color w:val="auto"/>
          <w:sz w:val="21"/>
          <w:szCs w:val="21"/>
          <w:highlight w:val="none"/>
        </w:rPr>
        <w:t>11.1 市场价格波动引起的调整</w:t>
      </w:r>
      <w:bookmarkEnd w:id="1080"/>
      <w:bookmarkEnd w:id="1081"/>
      <w:bookmarkEnd w:id="1082"/>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市场价格波动是否调整合同价格的约定：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不调整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因市场价格波动调整合同价格，采用以下第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种方式对合同价格进行调整：</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第1种方式：采用价格指数进行价格调整。</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第2种方式：采用造价信息进行价格调整。  </w:t>
      </w:r>
    </w:p>
    <w:p>
      <w:pPr>
        <w:pStyle w:val="8"/>
        <w:pageBreakBefore w:val="0"/>
        <w:kinsoku/>
        <w:wordWrap/>
        <w:overflowPunct/>
        <w:topLinePunct w:val="0"/>
        <w:bidi w:val="0"/>
        <w:snapToGrid w:val="0"/>
        <w:spacing w:before="0" w:beforeLines="0" w:after="0" w:afterLines="0" w:line="44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第3种方式：其他价格调整方式：</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Style w:val="8"/>
        <w:pageBreakBefore w:val="0"/>
        <w:kinsoku/>
        <w:wordWrap/>
        <w:overflowPunct/>
        <w:topLinePunct w:val="0"/>
        <w:bidi w:val="0"/>
        <w:snapToGrid w:val="0"/>
        <w:spacing w:before="0" w:beforeLines="0" w:after="0" w:afterLines="0" w:line="440" w:lineRule="exact"/>
        <w:ind w:firstLine="420" w:firstLineChars="200"/>
        <w:textAlignment w:val="auto"/>
        <w:rPr>
          <w:rFonts w:hint="default" w:ascii="宋体" w:hAnsi="宋体" w:eastAsia="宋体" w:cs="宋体"/>
          <w:b w:val="0"/>
          <w:sz w:val="21"/>
          <w:szCs w:val="21"/>
          <w:lang w:val="en-US" w:eastAsia="zh-CN"/>
        </w:rPr>
      </w:pPr>
      <w:r>
        <w:rPr>
          <w:rFonts w:hint="eastAsia" w:ascii="宋体" w:hAnsi="宋体" w:eastAsia="宋体" w:cs="宋体"/>
          <w:b w:val="0"/>
          <w:sz w:val="21"/>
          <w:szCs w:val="21"/>
        </w:rPr>
        <w:t>11.2人工费调整方法：</w:t>
      </w:r>
      <w:r>
        <w:rPr>
          <w:rFonts w:hint="eastAsia" w:ascii="宋体" w:hAnsi="宋体" w:eastAsia="宋体" w:cs="宋体"/>
          <w:b w:val="0"/>
          <w:sz w:val="21"/>
          <w:szCs w:val="21"/>
          <w:lang w:val="en-US" w:eastAsia="zh-CN"/>
        </w:rPr>
        <w:t>/。</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83" w:name="_Toc2095751839"/>
      <w:bookmarkStart w:id="1084" w:name="_Toc226573127"/>
      <w:r>
        <w:rPr>
          <w:rFonts w:hint="eastAsia" w:ascii="宋体" w:hAnsi="宋体" w:eastAsia="宋体" w:cs="宋体"/>
          <w:b w:val="0"/>
          <w:color w:val="auto"/>
          <w:sz w:val="21"/>
          <w:szCs w:val="21"/>
          <w:highlight w:val="none"/>
        </w:rPr>
        <w:t>12. 合同价格、计量与支付</w:t>
      </w:r>
      <w:bookmarkEnd w:id="1083"/>
      <w:bookmarkEnd w:id="1084"/>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85" w:name="_Toc13589"/>
      <w:bookmarkStart w:id="1086" w:name="_Toc74869891"/>
      <w:bookmarkStart w:id="1087" w:name="_Toc1734401749"/>
      <w:r>
        <w:rPr>
          <w:rFonts w:hint="eastAsia" w:ascii="宋体" w:hAnsi="宋体" w:eastAsia="宋体" w:cs="宋体"/>
          <w:color w:val="auto"/>
          <w:sz w:val="21"/>
          <w:szCs w:val="21"/>
          <w:highlight w:val="none"/>
        </w:rPr>
        <w:t>12.1 合同价格形式</w:t>
      </w:r>
      <w:bookmarkEnd w:id="1085"/>
      <w:bookmarkEnd w:id="1086"/>
      <w:bookmarkEnd w:id="1087"/>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1.单价合同。</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综合单价包含的风险范围：</w:t>
      </w:r>
      <w:r>
        <w:rPr>
          <w:rFonts w:hint="eastAsia" w:ascii="宋体" w:hAnsi="宋体" w:eastAsia="宋体" w:cs="宋体"/>
          <w:b/>
          <w:bCs/>
          <w:i w:val="0"/>
          <w:iCs w:val="0"/>
          <w:color w:val="auto"/>
          <w:sz w:val="21"/>
          <w:szCs w:val="21"/>
          <w:highlight w:val="none"/>
          <w:u w:val="single"/>
        </w:rPr>
        <w:t>各种因素引起的不属于本合同调价范围的市场材料价格、人工、机械使用费以及管理费、利润的变化等</w:t>
      </w:r>
      <w:r>
        <w:rPr>
          <w:rFonts w:hint="eastAsia" w:ascii="宋体" w:hAnsi="宋体" w:eastAsia="宋体" w:cs="宋体"/>
          <w:b/>
          <w:bCs/>
          <w:i w:val="0"/>
          <w:iCs w:val="0"/>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color w:val="auto"/>
          <w:sz w:val="21"/>
          <w:szCs w:val="21"/>
          <w:highlight w:val="none"/>
          <w:u w:val="single"/>
        </w:rPr>
        <w:t xml:space="preserve">  不考虑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u w:val="single"/>
          <w:lang w:val="en-US" w:eastAsia="zh-CN"/>
        </w:rPr>
        <w:t>/</w:t>
      </w:r>
      <w:r>
        <w:rPr>
          <w:rFonts w:hint="eastAsia" w:ascii="宋体" w:hAnsi="宋体" w:eastAsia="宋体" w:cs="宋体"/>
          <w:b/>
          <w:bCs/>
          <w:color w:val="auto"/>
          <w:sz w:val="21"/>
          <w:szCs w:val="21"/>
          <w:highlight w:val="none"/>
        </w:rPr>
        <w:t xml:space="preserve">。    </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总价包含的风险范围：</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i/>
          <w:iCs/>
          <w:color w:val="auto"/>
          <w:sz w:val="21"/>
          <w:szCs w:val="21"/>
          <w:highlight w:val="none"/>
          <w:u w:val="single"/>
        </w:rPr>
      </w:pPr>
      <w:r>
        <w:rPr>
          <w:rFonts w:hint="eastAsia" w:ascii="宋体" w:hAnsi="宋体" w:eastAsia="宋体" w:cs="宋体"/>
          <w:color w:val="auto"/>
          <w:sz w:val="21"/>
          <w:szCs w:val="21"/>
          <w:highlight w:val="none"/>
        </w:rPr>
        <w:t>风险费用的计算方法：</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3.其他价格方式：</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88" w:name="_Toc712673231"/>
      <w:bookmarkStart w:id="1089" w:name="_Toc1924091423"/>
      <w:r>
        <w:rPr>
          <w:rFonts w:hint="eastAsia" w:ascii="宋体" w:hAnsi="宋体" w:eastAsia="宋体" w:cs="宋体"/>
          <w:color w:val="auto"/>
          <w:sz w:val="21"/>
          <w:szCs w:val="21"/>
          <w:highlight w:val="none"/>
        </w:rPr>
        <w:t>12.2 预付款</w:t>
      </w:r>
      <w:bookmarkEnd w:id="1088"/>
      <w:bookmarkEnd w:id="1089"/>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预付款扣回的方式：</w:t>
      </w:r>
      <w:r>
        <w:rPr>
          <w:rFonts w:hint="eastAsia" w:ascii="宋体" w:hAnsi="宋体" w:cs="宋体"/>
          <w:b/>
          <w:bCs/>
          <w:color w:val="auto"/>
          <w:szCs w:val="21"/>
          <w:u w:val="single"/>
          <w:lang w:val="en-US" w:eastAsia="zh-CN"/>
        </w:rPr>
        <w:t>无</w:t>
      </w:r>
      <w:r>
        <w:rPr>
          <w:rFonts w:hint="eastAsia" w:ascii="宋体" w:hAnsi="宋体" w:eastAsia="宋体" w:cs="宋体"/>
          <w:color w:val="auto"/>
          <w:sz w:val="21"/>
          <w:szCs w:val="21"/>
          <w:highlight w:val="none"/>
          <w:u w:val="singl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12.2.2 预付款担保</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签订合同后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个工作日内，承包人需提交支付担保人民币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p>
    <w:p>
      <w:pPr>
        <w:pageBreakBefore w:val="0"/>
        <w:kinsoku/>
        <w:wordWrap/>
        <w:overflowPunct/>
        <w:topLinePunct w:val="0"/>
        <w:bidi w:val="0"/>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元（中标价的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rPr>
        <w:sym w:font="Wingdings" w:char="F0A8"/>
      </w:r>
      <w:r>
        <w:rPr>
          <w:rFonts w:hint="eastAsia" w:ascii="宋体" w:hAnsi="宋体" w:eastAsia="宋体" w:cs="宋体"/>
          <w:color w:val="auto"/>
          <w:sz w:val="21"/>
          <w:szCs w:val="21"/>
          <w:highlight w:val="none"/>
        </w:rPr>
        <w:t>保函或</w:t>
      </w:r>
      <w:r>
        <w:rPr>
          <w:rFonts w:hint="eastAsia" w:ascii="宋体" w:hAnsi="宋体" w:eastAsia="宋体" w:cs="宋体"/>
          <w:color w:val="auto"/>
          <w:sz w:val="21"/>
          <w:szCs w:val="21"/>
          <w:highlight w:val="none"/>
        </w:rPr>
        <w:sym w:font="Wingdings" w:char="F0A8"/>
      </w:r>
      <w:r>
        <w:rPr>
          <w:rFonts w:hint="eastAsia" w:ascii="宋体" w:hAnsi="宋体" w:eastAsia="宋体" w:cs="宋体"/>
          <w:color w:val="auto"/>
          <w:sz w:val="21"/>
          <w:szCs w:val="21"/>
          <w:highlight w:val="none"/>
        </w:rPr>
        <w:t>保险形式执行。预付款担保的有效期至</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为止。</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90" w:name="_Toc100272494"/>
      <w:bookmarkStart w:id="1091" w:name="_Toc13601"/>
      <w:bookmarkStart w:id="1092" w:name="_Toc1055625342"/>
      <w:r>
        <w:rPr>
          <w:rFonts w:hint="eastAsia" w:ascii="宋体" w:hAnsi="宋体" w:eastAsia="宋体" w:cs="宋体"/>
          <w:color w:val="auto"/>
          <w:sz w:val="21"/>
          <w:szCs w:val="21"/>
          <w:highlight w:val="none"/>
        </w:rPr>
        <w:t>12.3 计量</w:t>
      </w:r>
      <w:bookmarkEnd w:id="1090"/>
      <w:bookmarkEnd w:id="1091"/>
      <w:bookmarkEnd w:id="1092"/>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计量原则</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工程量计算规则：</w:t>
      </w:r>
      <w:r>
        <w:rPr>
          <w:rFonts w:hint="eastAsia" w:ascii="宋体" w:hAnsi="宋体" w:eastAsia="宋体" w:cs="宋体"/>
          <w:color w:val="auto"/>
          <w:sz w:val="21"/>
          <w:szCs w:val="21"/>
          <w:highlight w:val="none"/>
          <w:u w:val="single"/>
        </w:rPr>
        <w:t xml:space="preserve"> 执行现行建设工程工程量清单计价规范（GB50500）、安徽省建设工程计价依据</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计量周期</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关于计量周期的约定：</w:t>
      </w:r>
      <w:r>
        <w:rPr>
          <w:rFonts w:hint="eastAsia" w:ascii="宋体" w:hAnsi="宋体" w:eastAsia="宋体" w:cs="宋体"/>
          <w:color w:val="auto"/>
          <w:sz w:val="21"/>
          <w:szCs w:val="21"/>
          <w:highlight w:val="none"/>
          <w:u w:val="single"/>
        </w:rPr>
        <w:t xml:space="preserve">   按月计量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12.3.3 单价合同的计量</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关于单价合同计量的约定：</w:t>
      </w:r>
      <w:r>
        <w:rPr>
          <w:rFonts w:hint="eastAsia" w:ascii="宋体" w:hAnsi="宋体" w:eastAsia="宋体" w:cs="宋体"/>
          <w:color w:val="auto"/>
          <w:sz w:val="21"/>
          <w:szCs w:val="21"/>
          <w:highlight w:val="none"/>
          <w:u w:val="single"/>
        </w:rPr>
        <w:t>（1）承包人应于每月25日向监理人报送上月20日至当月19日已完成的工程量报告，并附具进度付款申请单、已完成工程量报表和有关资料。（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3）监理人未在收到承包人提交的工程量报表后的7天内完成审核的，承包人报送的工程量报告中的工程量视为承包人实际完成的工程量，据此计算工程价款</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注：本项目所有道路桥梁清表土方堆放道路桥梁两侧道路红线以外的，环保市容部门验收合格后方可计量。</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12.3.4 总价合同的计量</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关于总价合同计量的约定：</w:t>
      </w:r>
      <w:r>
        <w:rPr>
          <w:rFonts w:hint="eastAsia" w:ascii="宋体" w:hAnsi="宋体" w:eastAsia="宋体" w:cs="宋体"/>
          <w:color w:val="auto"/>
          <w:sz w:val="21"/>
          <w:szCs w:val="21"/>
          <w:highlight w:val="none"/>
          <w:u w:val="single"/>
        </w:rPr>
        <w:t xml:space="preserve">     不采用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12.3.5 总价合同采用支付分解表计量支付的，是否适用第</w:t>
      </w:r>
      <w:r>
        <w:rPr>
          <w:rFonts w:hint="eastAsia" w:ascii="宋体" w:hAnsi="宋体" w:eastAsia="宋体" w:cs="宋体"/>
          <w:color w:val="auto"/>
          <w:kern w:val="0"/>
          <w:sz w:val="21"/>
          <w:szCs w:val="21"/>
          <w:highlight w:val="none"/>
        </w:rPr>
        <w:t>12.3.4</w:t>
      </w:r>
      <w:r>
        <w:rPr>
          <w:rFonts w:hint="eastAsia" w:ascii="宋体" w:hAnsi="宋体" w:eastAsia="宋体" w:cs="宋体"/>
          <w:color w:val="auto"/>
          <w:sz w:val="21"/>
          <w:szCs w:val="21"/>
          <w:highlight w:val="none"/>
        </w:rPr>
        <w:t>项</w:t>
      </w:r>
      <w:r>
        <w:rPr>
          <w:rFonts w:hint="eastAsia" w:ascii="宋体" w:hAnsi="宋体" w:eastAsia="宋体" w:cs="宋体"/>
          <w:color w:val="auto"/>
          <w:kern w:val="0"/>
          <w:sz w:val="21"/>
          <w:szCs w:val="21"/>
          <w:highlight w:val="none"/>
        </w:rPr>
        <w:t>〔总价合同的计量〕</w:t>
      </w:r>
      <w:r>
        <w:rPr>
          <w:rFonts w:hint="eastAsia" w:ascii="宋体" w:hAnsi="宋体" w:eastAsia="宋体" w:cs="宋体"/>
          <w:color w:val="auto"/>
          <w:sz w:val="21"/>
          <w:szCs w:val="21"/>
          <w:highlight w:val="none"/>
        </w:rPr>
        <w:t>约定进行计量：</w:t>
      </w:r>
      <w:r>
        <w:rPr>
          <w:rFonts w:hint="eastAsia" w:ascii="宋体" w:hAnsi="宋体" w:eastAsia="宋体" w:cs="宋体"/>
          <w:color w:val="auto"/>
          <w:sz w:val="21"/>
          <w:szCs w:val="21"/>
          <w:highlight w:val="none"/>
          <w:u w:val="single"/>
        </w:rPr>
        <w:t xml:space="preserve">不采用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12.3.6 其他价格形式合同的计量</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其他价格形式的计量方式和程序：</w:t>
      </w:r>
      <w:r>
        <w:rPr>
          <w:rFonts w:hint="eastAsia" w:ascii="宋体" w:hAnsi="宋体" w:eastAsia="宋体" w:cs="宋体"/>
          <w:color w:val="auto"/>
          <w:sz w:val="21"/>
          <w:szCs w:val="21"/>
          <w:highlight w:val="none"/>
          <w:u w:val="single"/>
        </w:rPr>
        <w:t xml:space="preserve">不采用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93" w:name="_Toc27300"/>
      <w:bookmarkStart w:id="1094" w:name="_Toc16186591"/>
      <w:bookmarkStart w:id="1095" w:name="_Toc1516403745"/>
      <w:r>
        <w:rPr>
          <w:rFonts w:hint="eastAsia" w:ascii="宋体" w:hAnsi="宋体" w:eastAsia="宋体" w:cs="宋体"/>
          <w:color w:val="auto"/>
          <w:sz w:val="21"/>
          <w:szCs w:val="21"/>
          <w:highlight w:val="none"/>
        </w:rPr>
        <w:t>12.4 工程进度款支付</w:t>
      </w:r>
      <w:bookmarkEnd w:id="1093"/>
      <w:bookmarkEnd w:id="1094"/>
      <w:bookmarkEnd w:id="1095"/>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12.4.2 进度付款申请单的编制</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关于进度付款申请单编制的约定：</w:t>
      </w:r>
      <w:r>
        <w:rPr>
          <w:rFonts w:hint="eastAsia" w:ascii="宋体" w:hAnsi="宋体" w:eastAsia="宋体" w:cs="宋体"/>
          <w:color w:val="auto"/>
          <w:sz w:val="21"/>
          <w:szCs w:val="21"/>
          <w:highlight w:val="none"/>
          <w:u w:val="single"/>
        </w:rPr>
        <w:t>执行发包人统一内容格式</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12.4.3 进度付款申请单的提交</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（1）单价合同进度付款申请单提交的约定：</w:t>
      </w:r>
      <w:r>
        <w:rPr>
          <w:rFonts w:hint="eastAsia" w:ascii="宋体" w:hAnsi="宋体" w:eastAsia="宋体" w:cs="宋体"/>
          <w:color w:val="auto"/>
          <w:sz w:val="21"/>
          <w:szCs w:val="21"/>
          <w:highlight w:val="none"/>
          <w:u w:val="single"/>
        </w:rPr>
        <w:t>每月五日前乙方向甲方报送请款资料</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（2）总价合同进度付款申请单提交的约定：</w:t>
      </w:r>
      <w:r>
        <w:rPr>
          <w:rFonts w:hint="eastAsia" w:ascii="宋体" w:hAnsi="宋体" w:eastAsia="宋体" w:cs="宋体"/>
          <w:color w:val="auto"/>
          <w:sz w:val="21"/>
          <w:szCs w:val="21"/>
          <w:highlight w:val="none"/>
          <w:u w:val="single"/>
        </w:rPr>
        <w:t xml:space="preserve"> 不采用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（3）其他价格形式合同进度付款申请单提交的约定：</w:t>
      </w:r>
      <w:r>
        <w:rPr>
          <w:rFonts w:hint="eastAsia" w:ascii="宋体" w:hAnsi="宋体" w:eastAsia="宋体" w:cs="宋体"/>
          <w:color w:val="auto"/>
          <w:sz w:val="21"/>
          <w:szCs w:val="21"/>
          <w:highlight w:val="none"/>
          <w:u w:val="single"/>
        </w:rPr>
        <w:t xml:space="preserve"> 不采用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12.4.4 进度款审核和支付</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（1）监理人审查并报送发包人的期限：</w:t>
      </w:r>
      <w:r>
        <w:rPr>
          <w:rFonts w:hint="eastAsia" w:ascii="宋体" w:hAnsi="宋体" w:eastAsia="宋体" w:cs="宋体"/>
          <w:color w:val="auto"/>
          <w:sz w:val="21"/>
          <w:szCs w:val="21"/>
          <w:highlight w:val="none"/>
          <w:u w:val="single"/>
        </w:rPr>
        <w:t>监理人应在收到承包人进度付款申请单以及相关资料后7天内完成审查并报送发包人 。</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发包人完成审批并签发进度款支付证书的期限：</w:t>
      </w:r>
      <w:r>
        <w:rPr>
          <w:rFonts w:hint="eastAsia" w:ascii="宋体" w:hAnsi="宋体" w:eastAsia="宋体" w:cs="宋体"/>
          <w:color w:val="auto"/>
          <w:sz w:val="21"/>
          <w:szCs w:val="21"/>
          <w:highlight w:val="none"/>
          <w:u w:val="single"/>
        </w:rPr>
        <w:t>发包人应在收到后7天内完成审批并签发进度款支付证书，跟踪审计人员审核时间除外</w:t>
      </w:r>
      <w:r>
        <w:rPr>
          <w:rFonts w:hint="eastAsia" w:ascii="宋体" w:hAnsi="宋体" w:eastAsia="宋体" w:cs="宋体"/>
          <w:color w:val="auto"/>
          <w:sz w:val="21"/>
          <w:szCs w:val="21"/>
          <w:highlight w:val="none"/>
        </w:rPr>
        <w:t>。</w:t>
      </w:r>
    </w:p>
    <w:p>
      <w:pPr>
        <w:pageBreakBefore w:val="0"/>
        <w:numPr>
          <w:ilvl w:val="0"/>
          <w:numId w:val="7"/>
        </w:numPr>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承包人根据工程进度申请支付工程款，每期工程进度款按以下方式选择支付：</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w:char="F0A8"/>
      </w:r>
      <w:r>
        <w:rPr>
          <w:rFonts w:hint="eastAsia" w:ascii="宋体" w:hAnsi="宋体" w:eastAsia="宋体" w:cs="宋体"/>
          <w:color w:val="auto"/>
          <w:sz w:val="21"/>
          <w:szCs w:val="21"/>
          <w:highlight w:val="none"/>
        </w:rPr>
        <w:t>按实际完成工程量的百分比支付：</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rPr>
        <w:t>按形象进度支付：</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w:char="00FE"/>
      </w:r>
      <w:r>
        <w:rPr>
          <w:rFonts w:hint="eastAsia" w:ascii="宋体" w:hAnsi="宋体" w:eastAsia="宋体" w:cs="宋体"/>
          <w:b/>
          <w:bCs/>
          <w:color w:val="auto"/>
          <w:szCs w:val="21"/>
          <w:highlight w:val="none"/>
          <w:lang w:val="en-US" w:eastAsia="zh-CN"/>
        </w:rPr>
        <w:t xml:space="preserve"> </w:t>
      </w:r>
      <w:r>
        <w:rPr>
          <w:rFonts w:hint="eastAsia" w:ascii="宋体" w:hAnsi="宋体" w:cs="宋体"/>
          <w:b/>
          <w:bCs/>
          <w:color w:val="auto"/>
          <w:szCs w:val="21"/>
          <w:highlight w:val="none"/>
          <w:lang w:val="en-US" w:eastAsia="zh-CN"/>
        </w:rPr>
        <w:t>工程完工初验合格后，付至已完合格工程量的80%进度款，初验合格后，承包人须于60日内完成竣工结算报告和结算资料上报，协审机构据此进入结算初审；一年养护期满，死亡苗木补栽竣工验收合格，或经发包人同意不再补栽，并在结算中扣除完成结算审核或复核后，移交管养单位后一个月内</w:t>
      </w:r>
      <w:bookmarkStart w:id="1244" w:name="_GoBack"/>
      <w:bookmarkEnd w:id="1244"/>
      <w:r>
        <w:rPr>
          <w:rFonts w:hint="eastAsia" w:ascii="宋体" w:hAnsi="宋体" w:cs="宋体"/>
          <w:kern w:val="0"/>
          <w:szCs w:val="21"/>
          <w:highlight w:val="none"/>
          <w:lang w:val="en-US" w:eastAsia="zh-CN"/>
        </w:rPr>
        <w:t>付清余款支付结算尾款。绿化成活率：100%。</w:t>
      </w:r>
      <w:r>
        <w:rPr>
          <w:rFonts w:hint="eastAsia" w:ascii="宋体" w:hAnsi="宋体" w:cs="宋体"/>
          <w:b/>
          <w:bCs/>
          <w:color w:val="auto"/>
          <w:szCs w:val="21"/>
          <w:highlight w:val="none"/>
          <w:lang w:val="en-US" w:eastAsia="zh-CN"/>
        </w:rPr>
        <w:t>。绿化成活率：100%。</w:t>
      </w:r>
      <w:r>
        <w:rPr>
          <w:rFonts w:hint="eastAsia" w:ascii="宋体" w:hAnsi="宋体" w:eastAsia="宋体" w:cs="宋体"/>
          <w:color w:val="auto"/>
          <w:sz w:val="21"/>
          <w:szCs w:val="21"/>
          <w:highlight w:val="none"/>
        </w:rPr>
        <w:sym w:font="Wingdings" w:char="00A8"/>
      </w:r>
      <w:r>
        <w:rPr>
          <w:rFonts w:hint="eastAsia" w:ascii="宋体" w:hAnsi="宋体" w:eastAsia="宋体" w:cs="宋体"/>
          <w:color w:val="auto"/>
          <w:sz w:val="21"/>
          <w:szCs w:val="21"/>
          <w:highlight w:val="none"/>
        </w:rPr>
        <w:t>其它：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发包人在收到工程款进度申请后</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个工作日内完成支付，累计支付达到合同价款的</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w:t>
      </w:r>
    </w:p>
    <w:bookmarkEnd w:id="1057"/>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096" w:name="_Toc1569476373"/>
      <w:bookmarkStart w:id="1097" w:name="_Toc1114100005"/>
      <w:r>
        <w:rPr>
          <w:rFonts w:hint="eastAsia" w:ascii="宋体" w:hAnsi="宋体" w:eastAsia="宋体" w:cs="宋体"/>
          <w:b w:val="0"/>
          <w:color w:val="auto"/>
          <w:sz w:val="21"/>
          <w:szCs w:val="21"/>
          <w:highlight w:val="none"/>
        </w:rPr>
        <w:t>13. 验收和工程试车</w:t>
      </w:r>
      <w:bookmarkEnd w:id="1096"/>
      <w:bookmarkEnd w:id="1097"/>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098" w:name="_Toc17144"/>
      <w:bookmarkStart w:id="1099" w:name="_Toc750296361"/>
      <w:bookmarkStart w:id="1100" w:name="_Toc396975010"/>
      <w:r>
        <w:rPr>
          <w:rFonts w:hint="eastAsia" w:ascii="宋体" w:hAnsi="宋体" w:eastAsia="宋体" w:cs="宋体"/>
          <w:color w:val="auto"/>
          <w:sz w:val="21"/>
          <w:szCs w:val="21"/>
          <w:highlight w:val="none"/>
        </w:rPr>
        <w:t>13.1 分部分项工程验收</w:t>
      </w:r>
      <w:bookmarkEnd w:id="1098"/>
      <w:bookmarkEnd w:id="1099"/>
      <w:bookmarkEnd w:id="1100"/>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13.1.2 监理人不能按时进行验收时，应提前</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小时提交书面延期要求。</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关于延期最长不得超过：</w:t>
      </w:r>
      <w:r>
        <w:rPr>
          <w:rFonts w:hint="eastAsia" w:ascii="宋体" w:hAnsi="宋体" w:eastAsia="宋体" w:cs="宋体"/>
          <w:color w:val="auto"/>
          <w:sz w:val="21"/>
          <w:szCs w:val="21"/>
          <w:highlight w:val="none"/>
          <w:u w:val="single"/>
        </w:rPr>
        <w:t xml:space="preserve"> 6 </w:t>
      </w:r>
      <w:r>
        <w:rPr>
          <w:rFonts w:hint="eastAsia" w:ascii="宋体" w:hAnsi="宋体" w:eastAsia="宋体" w:cs="宋体"/>
          <w:color w:val="auto"/>
          <w:sz w:val="21"/>
          <w:szCs w:val="21"/>
          <w:highlight w:val="none"/>
        </w:rPr>
        <w:t>小时。</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01" w:name="_Toc282243333"/>
      <w:bookmarkStart w:id="1102" w:name="_Toc1898612073"/>
      <w:bookmarkStart w:id="1103" w:name="_Toc12180"/>
      <w:r>
        <w:rPr>
          <w:rFonts w:hint="eastAsia" w:ascii="宋体" w:hAnsi="宋体" w:eastAsia="宋体" w:cs="宋体"/>
          <w:color w:val="auto"/>
          <w:sz w:val="21"/>
          <w:szCs w:val="21"/>
          <w:highlight w:val="none"/>
        </w:rPr>
        <w:t>13.2 竣工验收</w:t>
      </w:r>
      <w:bookmarkEnd w:id="1101"/>
      <w:bookmarkEnd w:id="1102"/>
      <w:bookmarkEnd w:id="1103"/>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kern w:val="0"/>
          <w:sz w:val="21"/>
          <w:szCs w:val="21"/>
          <w:highlight w:val="none"/>
        </w:rPr>
      </w:pPr>
      <w:bookmarkStart w:id="1104" w:name="_Toc276351635"/>
      <w:bookmarkStart w:id="1105" w:name="_Toc1027479745"/>
      <w:r>
        <w:rPr>
          <w:rFonts w:hint="eastAsia" w:ascii="宋体" w:hAnsi="宋体" w:eastAsia="宋体" w:cs="宋体"/>
          <w:color w:val="auto"/>
          <w:sz w:val="21"/>
          <w:szCs w:val="21"/>
          <w:highlight w:val="none"/>
        </w:rPr>
        <w:t xml:space="preserve">13.2.1 </w:t>
      </w:r>
      <w:r>
        <w:rPr>
          <w:rFonts w:hint="eastAsia" w:ascii="宋体" w:hAnsi="宋体" w:eastAsia="宋体" w:cs="宋体"/>
          <w:color w:val="auto"/>
          <w:kern w:val="0"/>
          <w:sz w:val="21"/>
          <w:szCs w:val="21"/>
          <w:highlight w:val="none"/>
        </w:rPr>
        <w:t>竣工验收条件</w:t>
      </w:r>
      <w:bookmarkEnd w:id="1104"/>
      <w:bookmarkEnd w:id="1105"/>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kern w:val="0"/>
          <w:sz w:val="21"/>
          <w:szCs w:val="21"/>
          <w:highlight w:val="none"/>
        </w:rPr>
      </w:pPr>
      <w:bookmarkStart w:id="1106" w:name="_Toc1893941971"/>
      <w:bookmarkStart w:id="1107" w:name="_Toc1418190231"/>
      <w:r>
        <w:rPr>
          <w:rFonts w:hint="eastAsia" w:ascii="宋体" w:hAnsi="宋体" w:eastAsia="宋体" w:cs="宋体"/>
          <w:color w:val="auto"/>
          <w:kern w:val="0"/>
          <w:sz w:val="21"/>
          <w:szCs w:val="21"/>
          <w:highlight w:val="none"/>
        </w:rPr>
        <w:t>（3）竣工资料内容和份数：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竣工资料三份纸质版，电子版一份</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bookmarkEnd w:id="1106"/>
      <w:bookmarkEnd w:id="1107"/>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08" w:name="_Toc1822546722"/>
      <w:bookmarkStart w:id="1109" w:name="_Toc1570375781"/>
      <w:r>
        <w:rPr>
          <w:rFonts w:hint="eastAsia" w:ascii="宋体" w:hAnsi="宋体" w:eastAsia="宋体" w:cs="宋体"/>
          <w:color w:val="auto"/>
          <w:sz w:val="21"/>
          <w:szCs w:val="21"/>
          <w:highlight w:val="none"/>
        </w:rPr>
        <w:t>13.2.2 竣工验收程序</w:t>
      </w:r>
      <w:bookmarkEnd w:id="1108"/>
      <w:bookmarkEnd w:id="1109"/>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关于竣工验收程序的约定：</w:t>
      </w:r>
      <w:r>
        <w:rPr>
          <w:rFonts w:hint="eastAsia" w:ascii="宋体" w:hAnsi="宋体" w:eastAsia="宋体" w:cs="宋体"/>
          <w:color w:val="auto"/>
          <w:kern w:val="0"/>
          <w:sz w:val="21"/>
          <w:szCs w:val="21"/>
          <w:highlight w:val="none"/>
          <w:u w:val="single"/>
        </w:rPr>
        <w:t>整体工程完工后组织竣工验收，验收合格之日作为竣工日期</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发包人不按照本项约定组织竣工验收、颁发工程接收证书的违约金的计算方法：</w:t>
      </w:r>
      <w:r>
        <w:rPr>
          <w:rFonts w:hint="eastAsia" w:ascii="宋体" w:hAnsi="宋体" w:eastAsia="宋体" w:cs="宋体"/>
          <w:color w:val="auto"/>
          <w:sz w:val="21"/>
          <w:szCs w:val="21"/>
          <w:highlight w:val="none"/>
          <w:u w:val="single"/>
        </w:rPr>
        <w:t xml:space="preserve">  不考虑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13.2.5 移交、接收全部与部分工程</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绿化工程移交期限：</w:t>
      </w:r>
      <w:r>
        <w:rPr>
          <w:rFonts w:hint="eastAsia" w:ascii="宋体" w:hAnsi="宋体" w:eastAsia="宋体" w:cs="宋体"/>
          <w:color w:val="auto"/>
          <w:sz w:val="21"/>
          <w:szCs w:val="21"/>
          <w:highlight w:val="none"/>
          <w:u w:val="single"/>
        </w:rPr>
        <w:t>承包人应当无条件配合发包人在30日内将工程移交给管养单位</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其他工程移交</w:t>
      </w:r>
      <w:r>
        <w:rPr>
          <w:rFonts w:hint="eastAsia" w:ascii="宋体" w:hAnsi="宋体" w:eastAsia="宋体" w:cs="宋体"/>
          <w:color w:val="auto"/>
          <w:sz w:val="21"/>
          <w:szCs w:val="21"/>
          <w:highlight w:val="none"/>
        </w:rPr>
        <w:t>期限</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u w:val="single"/>
        </w:rPr>
        <w:t>承包人应当无条件配合发包人在30日内将工程移交给管养单位</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发包人未按本合同约定接收全部或部分工程的，违约金的计算方法为：</w:t>
      </w:r>
      <w:r>
        <w:rPr>
          <w:rFonts w:hint="eastAsia" w:ascii="宋体" w:hAnsi="宋体" w:eastAsia="宋体" w:cs="宋体"/>
          <w:color w:val="auto"/>
          <w:sz w:val="21"/>
          <w:szCs w:val="21"/>
          <w:highlight w:val="none"/>
          <w:u w:val="single"/>
        </w:rPr>
        <w:t xml:space="preserve">    不考虑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承包人未按时移交工程的，违约金的计算方法为：</w:t>
      </w:r>
      <w:r>
        <w:rPr>
          <w:rFonts w:hint="eastAsia" w:ascii="宋体" w:hAnsi="宋体" w:eastAsia="宋体" w:cs="宋体"/>
          <w:color w:val="auto"/>
          <w:sz w:val="21"/>
          <w:szCs w:val="21"/>
          <w:highlight w:val="none"/>
          <w:u w:val="single"/>
        </w:rPr>
        <w:t>因承包人原因，未按合同期限按时移交的，暂停工程款支付，发包人可动用质保金</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bookmarkStart w:id="1110" w:name="_Toc19772"/>
      <w:r>
        <w:rPr>
          <w:rFonts w:hint="eastAsia" w:ascii="宋体" w:hAnsi="宋体" w:eastAsia="宋体" w:cs="宋体"/>
          <w:color w:val="auto"/>
          <w:sz w:val="21"/>
          <w:szCs w:val="21"/>
          <w:highlight w:val="none"/>
        </w:rPr>
        <w:t>13.6 竣工退场</w:t>
      </w:r>
      <w:bookmarkEnd w:id="1110"/>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13.6.1 竣工退场</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承包人完成竣工退场的期限：</w:t>
      </w:r>
      <w:r>
        <w:rPr>
          <w:rFonts w:hint="eastAsia" w:ascii="宋体" w:hAnsi="宋体" w:eastAsia="宋体" w:cs="宋体"/>
          <w:color w:val="auto"/>
          <w:sz w:val="21"/>
          <w:szCs w:val="21"/>
          <w:highlight w:val="none"/>
          <w:u w:val="single"/>
        </w:rPr>
        <w:t>工程竣工合格后，7天内退场</w:t>
      </w:r>
      <w:r>
        <w:rPr>
          <w:rFonts w:hint="eastAsia" w:ascii="宋体" w:hAnsi="宋体" w:eastAsia="宋体" w:cs="宋体"/>
          <w:color w:val="auto"/>
          <w:kern w:val="0"/>
          <w:sz w:val="21"/>
          <w:szCs w:val="21"/>
          <w:highlight w:val="none"/>
        </w:rPr>
        <w:t>。</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111" w:name="_Toc1123811034"/>
      <w:bookmarkStart w:id="1112" w:name="_Toc295889295"/>
      <w:r>
        <w:rPr>
          <w:rFonts w:hint="eastAsia" w:ascii="宋体" w:hAnsi="宋体" w:eastAsia="宋体" w:cs="宋体"/>
          <w:b w:val="0"/>
          <w:color w:val="auto"/>
          <w:sz w:val="21"/>
          <w:szCs w:val="21"/>
          <w:highlight w:val="none"/>
        </w:rPr>
        <w:t>14. 竣工结算</w:t>
      </w:r>
      <w:bookmarkEnd w:id="1111"/>
      <w:bookmarkEnd w:id="1112"/>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bookmarkStart w:id="1113" w:name="_Toc1257404679"/>
      <w:bookmarkStart w:id="1114" w:name="_Toc2011892871"/>
      <w:bookmarkStart w:id="1115" w:name="_Toc3577"/>
      <w:r>
        <w:rPr>
          <w:rFonts w:hint="eastAsia" w:ascii="宋体" w:hAnsi="宋体" w:eastAsia="宋体" w:cs="宋体"/>
          <w:color w:val="auto"/>
          <w:sz w:val="21"/>
          <w:szCs w:val="21"/>
          <w:highlight w:val="none"/>
        </w:rPr>
        <w:t>14.1 竣工结算</w:t>
      </w:r>
      <w:bookmarkEnd w:id="1113"/>
      <w:bookmarkEnd w:id="1114"/>
      <w:bookmarkEnd w:id="1115"/>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竣工结算申请单应包括的内容：</w:t>
      </w:r>
      <w:r>
        <w:rPr>
          <w:rFonts w:hint="eastAsia" w:ascii="宋体" w:hAnsi="宋体" w:eastAsia="宋体" w:cs="宋体"/>
          <w:color w:val="auto"/>
          <w:sz w:val="21"/>
          <w:szCs w:val="21"/>
          <w:highlight w:val="none"/>
          <w:u w:val="single"/>
        </w:rPr>
        <w:t xml:space="preserve">执行发包人统一内容格式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bookmarkStart w:id="1116" w:name="_Toc10781"/>
      <w:r>
        <w:rPr>
          <w:rFonts w:hint="eastAsia" w:ascii="宋体" w:hAnsi="宋体" w:eastAsia="宋体" w:cs="宋体"/>
          <w:color w:val="auto"/>
          <w:sz w:val="21"/>
          <w:szCs w:val="21"/>
          <w:highlight w:val="none"/>
        </w:rPr>
        <w:t>14.4 最终结清</w:t>
      </w:r>
      <w:bookmarkEnd w:id="1116"/>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14.4.1 最终结清申请单</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承包人提交最终结清申请单的份数：</w:t>
      </w:r>
      <w:r>
        <w:rPr>
          <w:rFonts w:hint="eastAsia" w:ascii="宋体" w:hAnsi="宋体" w:eastAsia="宋体" w:cs="宋体"/>
          <w:color w:val="auto"/>
          <w:sz w:val="21"/>
          <w:szCs w:val="21"/>
          <w:highlight w:val="none"/>
          <w:u w:val="single"/>
        </w:rPr>
        <w:t xml:space="preserve">    4份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承包人提交最终结算申请单的期限：</w:t>
      </w:r>
      <w:r>
        <w:rPr>
          <w:rFonts w:hint="eastAsia" w:ascii="宋体" w:hAnsi="宋体" w:eastAsia="宋体" w:cs="宋体"/>
          <w:color w:val="auto"/>
          <w:sz w:val="21"/>
          <w:szCs w:val="21"/>
          <w:highlight w:val="none"/>
          <w:u w:val="single"/>
        </w:rPr>
        <w:t xml:space="preserve"> 缺陷责任期满经复查合格后7天内</w:t>
      </w:r>
      <w:r>
        <w:rPr>
          <w:rFonts w:hint="eastAsia" w:ascii="宋体" w:hAnsi="宋体" w:eastAsia="宋体" w:cs="宋体"/>
          <w:color w:val="auto"/>
          <w:sz w:val="21"/>
          <w:szCs w:val="21"/>
          <w:highlight w:val="none"/>
        </w:rPr>
        <w:t xml:space="preserve">。 </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bookmarkStart w:id="1117" w:name="_Toc19199"/>
      <w:r>
        <w:rPr>
          <w:rFonts w:hint="eastAsia" w:ascii="宋体" w:hAnsi="宋体" w:eastAsia="宋体" w:cs="宋体"/>
          <w:color w:val="auto"/>
          <w:sz w:val="21"/>
          <w:szCs w:val="21"/>
          <w:highlight w:val="none"/>
        </w:rPr>
        <w:t>14.5 竣工归档资料</w:t>
      </w:r>
      <w:bookmarkEnd w:id="1117"/>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（1）施工中未发生设计变更，施工后由承包人在发包人提供的施工图纸加盖竣工图章提交发包人。</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（2）施工过程中发生设计变更的，需经相关方书面确认后由设计单位出具设计变更材料，由承包人提供加盖竣工图章的竣工图给发包人。</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（3）工程竣工验收</w:t>
      </w:r>
      <w:r>
        <w:rPr>
          <w:rFonts w:hint="eastAsia" w:ascii="宋体" w:hAnsi="宋体" w:eastAsia="宋体" w:cs="宋体"/>
          <w:color w:val="auto"/>
          <w:kern w:val="0"/>
          <w:sz w:val="21"/>
          <w:szCs w:val="21"/>
          <w:highlight w:val="none"/>
          <w:lang w:val="en-US" w:eastAsia="zh-CN"/>
        </w:rPr>
        <w:t>后</w:t>
      </w:r>
      <w:r>
        <w:rPr>
          <w:rFonts w:hint="eastAsia" w:ascii="宋体" w:hAnsi="宋体" w:eastAsia="宋体" w:cs="宋体"/>
          <w:color w:val="auto"/>
          <w:kern w:val="0"/>
          <w:sz w:val="21"/>
          <w:szCs w:val="21"/>
          <w:highlight w:val="none"/>
        </w:rPr>
        <w:t>结算</w:t>
      </w:r>
      <w:r>
        <w:rPr>
          <w:rFonts w:hint="eastAsia" w:ascii="宋体" w:hAnsi="宋体" w:eastAsia="宋体" w:cs="宋体"/>
          <w:color w:val="auto"/>
          <w:kern w:val="0"/>
          <w:sz w:val="21"/>
          <w:szCs w:val="21"/>
          <w:highlight w:val="none"/>
          <w:lang w:val="en-US" w:eastAsia="zh-CN"/>
        </w:rPr>
        <w:t>前</w:t>
      </w:r>
      <w:r>
        <w:rPr>
          <w:rFonts w:hint="eastAsia" w:ascii="宋体" w:hAnsi="宋体" w:eastAsia="宋体" w:cs="宋体"/>
          <w:color w:val="auto"/>
          <w:kern w:val="0"/>
          <w:sz w:val="21"/>
          <w:szCs w:val="21"/>
          <w:highlight w:val="none"/>
        </w:rPr>
        <w:t>承包人应提供给发包人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3</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套完整符合要求的竣工图、竣工归档资料。</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竣工归档资料的形式和格式：</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纸质版、电子版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left="279" w:leftChars="133" w:firstLine="210" w:firstLineChars="1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（4）因承包人拖延或不办理竣工归档资料时，经发包人催告，</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三 </w:t>
      </w:r>
      <w:r>
        <w:rPr>
          <w:rFonts w:hint="eastAsia" w:ascii="宋体" w:hAnsi="宋体" w:eastAsia="宋体" w:cs="宋体"/>
          <w:color w:val="auto"/>
          <w:kern w:val="0"/>
          <w:sz w:val="21"/>
          <w:szCs w:val="21"/>
          <w:highlight w:val="none"/>
        </w:rPr>
        <w:t>个月内未按发包人要求提供相关竣工归档资料的，发包人有权委托第三方机构整理，相关费用由</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承包人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承担。</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color w:val="auto"/>
          <w:sz w:val="21"/>
          <w:szCs w:val="21"/>
          <w:highlight w:val="none"/>
        </w:rPr>
      </w:pPr>
      <w:bookmarkStart w:id="1118" w:name="_Toc1320788901"/>
      <w:bookmarkStart w:id="1119" w:name="_Toc490192013"/>
      <w:r>
        <w:rPr>
          <w:rFonts w:hint="eastAsia" w:ascii="宋体" w:hAnsi="宋体" w:eastAsia="宋体" w:cs="宋体"/>
          <w:b w:val="0"/>
          <w:color w:val="auto"/>
          <w:sz w:val="21"/>
          <w:szCs w:val="21"/>
          <w:highlight w:val="none"/>
        </w:rPr>
        <w:t>15. 缺陷责任期与保修</w:t>
      </w:r>
      <w:bookmarkEnd w:id="1118"/>
      <w:bookmarkEnd w:id="1119"/>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bookmarkStart w:id="1120" w:name="_Toc18125"/>
      <w:r>
        <w:rPr>
          <w:rFonts w:hint="eastAsia" w:ascii="宋体" w:hAnsi="宋体" w:eastAsia="宋体" w:cs="宋体"/>
          <w:color w:val="auto"/>
          <w:sz w:val="21"/>
          <w:szCs w:val="21"/>
          <w:highlight w:val="none"/>
        </w:rPr>
        <w:t>15.2 缺陷责任期</w:t>
      </w:r>
      <w:bookmarkEnd w:id="1120"/>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缺陷责任期的具体期限：</w:t>
      </w:r>
      <w:r>
        <w:rPr>
          <w:rFonts w:hint="eastAsia" w:ascii="宋体" w:cs="宋体"/>
          <w:color w:val="auto"/>
          <w:szCs w:val="21"/>
          <w:u w:val="single"/>
        </w:rPr>
        <w:t>土建工程缺陷责任期两年（缺陷责任期从竣工验收合格之日起计算）；绿化工程养护期一年（从竣工验收合格之日起计算），缺陷责任期一年（从养护期满并复验合格之日起计算，缺陷责任期内承包人继续履行养护责任），共计两年</w:t>
      </w:r>
      <w:r>
        <w:rPr>
          <w:rFonts w:hint="eastAsia" w:ascii="宋体" w:cs="宋体"/>
          <w:color w:val="auto"/>
          <w:szCs w:val="21"/>
          <w:highlight w:val="none"/>
          <w:u w:val="single"/>
        </w:rPr>
        <w:t>。</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质量保证金</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工程质量保证金的支付方式和时间：工程质量保证金为结算款的</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%（≤3%），采用以下方式执行：</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详见工程款支付方式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工程缺陷责任期满，承包人履行缺陷责任期内质量保修义务及绿化养护义务且合格移交后，在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30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天内结清工程质量保证金。在工程项目竣工验收前，承包人提供履约担保的，发包人不得同时预留工程质量保证金。</w:t>
      </w:r>
    </w:p>
    <w:p>
      <w:pPr>
        <w:pStyle w:val="2"/>
        <w:pageBreakBefore w:val="0"/>
        <w:kinsoku/>
        <w:wordWrap/>
        <w:overflowPunct/>
        <w:topLinePunct w:val="0"/>
        <w:bidi w:val="0"/>
        <w:spacing w:after="0" w:afterLines="0" w:line="312"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关于质量保证金的补充约定：</w:t>
      </w:r>
      <w:r>
        <w:rPr>
          <w:rFonts w:hint="eastAsia" w:ascii="宋体" w:hAnsi="宋体" w:eastAsia="宋体" w:cs="宋体"/>
          <w:color w:val="auto"/>
          <w:kern w:val="2"/>
          <w:sz w:val="21"/>
          <w:szCs w:val="21"/>
          <w:highlight w:val="none"/>
          <w:u w:val="single"/>
          <w:lang w:val="en-US" w:eastAsia="zh-CN" w:bidi="ar-SA"/>
        </w:rPr>
        <w:t xml:space="preserve"> 承包人在缺陷责任期内未履行保修义务的，缺陷责任期满经复查不合格的，质量保证金不予退还。质量缺陷较多，多次催促整改不到位，处理不及时的，发包人可动用质保金。</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 保修</w:t>
      </w:r>
    </w:p>
    <w:p>
      <w:pPr>
        <w:pageBreakBefore w:val="0"/>
        <w:kinsoku/>
        <w:wordWrap/>
        <w:overflowPunct/>
        <w:topLinePunct w:val="0"/>
        <w:bidi w:val="0"/>
        <w:spacing w:line="312" w:lineRule="auto"/>
        <w:ind w:firstLine="409" w:firstLineChars="1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保修责任</w:t>
      </w:r>
    </w:p>
    <w:p>
      <w:pPr>
        <w:pageBreakBefore w:val="0"/>
        <w:kinsoku/>
        <w:wordWrap/>
        <w:overflowPunct/>
        <w:topLinePunct w:val="0"/>
        <w:bidi w:val="0"/>
        <w:spacing w:line="312" w:lineRule="auto"/>
        <w:ind w:firstLine="409" w:firstLineChars="195"/>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kern w:val="0"/>
          <w:sz w:val="21"/>
          <w:szCs w:val="21"/>
          <w:highlight w:val="none"/>
          <w:u w:val="single"/>
        </w:rPr>
        <w:t xml:space="preserve">执行《建设工程质量管理条例》及有关规定  </w:t>
      </w:r>
      <w:r>
        <w:rPr>
          <w:rFonts w:hint="eastAsia" w:ascii="宋体" w:hAnsi="宋体" w:eastAsia="宋体" w:cs="宋体"/>
          <w:color w:val="auto"/>
          <w:kern w:val="0"/>
          <w:sz w:val="21"/>
          <w:szCs w:val="21"/>
          <w:highlight w:val="none"/>
        </w:rPr>
        <w:t xml:space="preserve">。 </w:t>
      </w:r>
    </w:p>
    <w:p>
      <w:pPr>
        <w:pageBreakBefore w:val="0"/>
        <w:kinsoku/>
        <w:wordWrap/>
        <w:overflowPunct/>
        <w:topLinePunct w:val="0"/>
        <w:bidi w:val="0"/>
        <w:spacing w:line="312" w:lineRule="auto"/>
        <w:ind w:firstLine="409" w:firstLineChars="1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修复通知</w:t>
      </w:r>
    </w:p>
    <w:p>
      <w:pPr>
        <w:pageBreakBefore w:val="0"/>
        <w:numPr>
          <w:ilvl w:val="0"/>
          <w:numId w:val="8"/>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承包人收到保修通知并到达工程现场的合理时间：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sz w:val="21"/>
          <w:szCs w:val="21"/>
          <w:highlight w:val="none"/>
          <w:u w:val="single"/>
        </w:rPr>
        <w:t>承包人应当在接到保修通知之日起7天内派人保修。承包人不在约定期限内派人保修的，发包人可以委托他人修理，费用由承包人承担，从质量保证金中扣除。</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21" w:name="_Toc652859120"/>
      <w:bookmarkStart w:id="1122" w:name="_Toc1846040712"/>
      <w:r>
        <w:rPr>
          <w:rFonts w:hint="eastAsia" w:ascii="宋体" w:hAnsi="宋体" w:eastAsia="宋体" w:cs="宋体"/>
          <w:color w:val="auto"/>
          <w:sz w:val="21"/>
          <w:szCs w:val="21"/>
          <w:highlight w:val="none"/>
        </w:rPr>
        <w:t>15.5 绿化养护期</w:t>
      </w:r>
      <w:bookmarkEnd w:id="1121"/>
      <w:bookmarkEnd w:id="1122"/>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绿化养护期</w:t>
      </w:r>
      <w:r>
        <w:rPr>
          <w:rFonts w:hint="eastAsia" w:ascii="宋体" w:hAnsi="宋体" w:eastAsia="宋体" w:cs="宋体"/>
          <w:color w:val="auto"/>
          <w:sz w:val="21"/>
          <w:szCs w:val="21"/>
          <w:highlight w:val="none"/>
        </w:rPr>
        <w:t>的具体期限</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u w:val="single"/>
        </w:rPr>
        <w:t xml:space="preserve">   养护期</w:t>
      </w:r>
      <w:r>
        <w:rPr>
          <w:rFonts w:hint="eastAsia" w:ascii="宋体" w:hAnsi="宋体" w:cs="宋体"/>
          <w:color w:val="auto"/>
          <w:kern w:val="0"/>
          <w:sz w:val="21"/>
          <w:szCs w:val="21"/>
          <w:highlight w:val="none"/>
          <w:u w:val="single"/>
          <w:lang w:val="en-US" w:eastAsia="zh-CN"/>
        </w:rPr>
        <w:t>一</w:t>
      </w:r>
      <w:r>
        <w:rPr>
          <w:rFonts w:hint="eastAsia" w:ascii="宋体" w:hAnsi="宋体" w:eastAsia="宋体" w:cs="宋体"/>
          <w:color w:val="auto"/>
          <w:kern w:val="0"/>
          <w:sz w:val="21"/>
          <w:szCs w:val="21"/>
          <w:highlight w:val="none"/>
          <w:u w:val="single"/>
        </w:rPr>
        <w:t xml:space="preserve">年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绿化养护期内双方责任约定：</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执行招标文件规定</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绿化养护期内水电费支付：</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由承包人承担</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123" w:name="_Toc922596978"/>
      <w:bookmarkStart w:id="1124" w:name="_Toc543386448"/>
      <w:r>
        <w:rPr>
          <w:rFonts w:hint="eastAsia" w:ascii="宋体" w:hAnsi="宋体" w:eastAsia="宋体" w:cs="宋体"/>
          <w:b w:val="0"/>
          <w:color w:val="auto"/>
          <w:sz w:val="21"/>
          <w:szCs w:val="21"/>
          <w:highlight w:val="none"/>
        </w:rPr>
        <w:t>16. 违约</w:t>
      </w:r>
      <w:bookmarkEnd w:id="1123"/>
      <w:bookmarkEnd w:id="1124"/>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25" w:name="_Toc41673421"/>
      <w:bookmarkStart w:id="1126" w:name="_Toc12830"/>
      <w:bookmarkStart w:id="1127" w:name="_Toc776232141"/>
      <w:r>
        <w:rPr>
          <w:rFonts w:hint="eastAsia" w:ascii="宋体" w:hAnsi="宋体" w:eastAsia="宋体" w:cs="宋体"/>
          <w:color w:val="auto"/>
          <w:sz w:val="21"/>
          <w:szCs w:val="21"/>
          <w:highlight w:val="none"/>
        </w:rPr>
        <w:t>16.1 发包人违约</w:t>
      </w:r>
      <w:bookmarkEnd w:id="1125"/>
      <w:bookmarkEnd w:id="1126"/>
      <w:bookmarkEnd w:id="1127"/>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 发包人违约的情形</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发包人违约的其他情形：</w:t>
      </w:r>
      <w:r>
        <w:rPr>
          <w:rFonts w:hint="eastAsia" w:ascii="宋体" w:hAnsi="宋体" w:eastAsia="宋体" w:cs="宋体"/>
          <w:color w:val="auto"/>
          <w:kern w:val="0"/>
          <w:sz w:val="21"/>
          <w:szCs w:val="21"/>
          <w:highlight w:val="none"/>
          <w:u w:val="single"/>
        </w:rPr>
        <w:t xml:space="preserve">    无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left="1400" w:hanging="1050" w:hangingChars="5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16.1.2 发包人违约的责任</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发包人违约责任的承担方式和计算方法：</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（1）因发包人原因未能在计划开工日期前7天内下达开工通知的违约责任：</w:t>
      </w:r>
      <w:r>
        <w:rPr>
          <w:rFonts w:hint="eastAsia" w:ascii="宋体" w:hAnsi="宋体" w:eastAsia="宋体" w:cs="宋体"/>
          <w:color w:val="auto"/>
          <w:kern w:val="0"/>
          <w:sz w:val="21"/>
          <w:szCs w:val="21"/>
          <w:highlight w:val="none"/>
          <w:u w:val="single"/>
        </w:rPr>
        <w:t xml:space="preserve">对工期造成影响的可顺延工期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（2）因发包人原因未能按合同约定支付合同价款的违约责任：</w:t>
      </w:r>
      <w:r>
        <w:rPr>
          <w:rFonts w:hint="eastAsia" w:ascii="宋体" w:hAnsi="宋体" w:eastAsia="宋体" w:cs="宋体"/>
          <w:color w:val="auto"/>
          <w:kern w:val="0"/>
          <w:sz w:val="21"/>
          <w:szCs w:val="21"/>
          <w:highlight w:val="none"/>
          <w:u w:val="single"/>
        </w:rPr>
        <w:t xml:space="preserve"> 可按照中国人民银行发布的同期同类贷款基准利率支付违约金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（3）发包人违反第10.1款〔变更的范围〕第（2）项约定，自行实施被取消的工作或转由他人实施的违约责任：</w:t>
      </w:r>
      <w:r>
        <w:rPr>
          <w:rFonts w:hint="eastAsia" w:ascii="宋体" w:hAnsi="宋体" w:eastAsia="宋体" w:cs="宋体"/>
          <w:color w:val="auto"/>
          <w:kern w:val="0"/>
          <w:sz w:val="21"/>
          <w:szCs w:val="21"/>
          <w:highlight w:val="none"/>
          <w:u w:val="single"/>
        </w:rPr>
        <w:t>发包人可追加与被取消的工作造价相当的额外工作做为补偿</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highlight w:val="none"/>
          <w:u w:val="single"/>
        </w:rPr>
        <w:t xml:space="preserve"> 发包人可补足或更换材料、工程设备；对工期造成延误的可以顺延；增加承包人成本的可予以补偿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（5）因发包人违反合同约定造成暂停施工的违约责任：可顺延工期。</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（6）发包人无正当理由没有在约定期限内发出复工指示，导致承包人无法复工的违约责任：</w:t>
      </w:r>
      <w:r>
        <w:rPr>
          <w:rFonts w:hint="eastAsia" w:ascii="宋体" w:hAnsi="宋体" w:eastAsia="宋体" w:cs="宋体"/>
          <w:color w:val="auto"/>
          <w:kern w:val="0"/>
          <w:sz w:val="21"/>
          <w:szCs w:val="21"/>
          <w:highlight w:val="none"/>
          <w:u w:val="single"/>
        </w:rPr>
        <w:t xml:space="preserve"> 对工期造成影响的可顺延工期</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w:t>
      </w:r>
      <w:r>
        <w:rPr>
          <w:rFonts w:hint="eastAsia" w:ascii="宋体" w:hAnsi="宋体" w:eastAsia="宋体" w:cs="宋体"/>
          <w:color w:val="auto"/>
          <w:kern w:val="0"/>
          <w:sz w:val="21"/>
          <w:szCs w:val="21"/>
          <w:highlight w:val="none"/>
          <w:u w:val="single"/>
        </w:rPr>
        <w:t xml:space="preserve">    无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16.1.3 因发包人违约解除合同</w:t>
      </w:r>
    </w:p>
    <w:p>
      <w:pPr>
        <w:pageBreakBefore w:val="0"/>
        <w:kinsoku/>
        <w:wordWrap/>
        <w:overflowPunct/>
        <w:topLinePunct w:val="0"/>
        <w:autoSpaceDE w:val="0"/>
        <w:autoSpaceDN w:val="0"/>
        <w:bidi w:val="0"/>
        <w:adjustRightInd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承包人按16.1.1项〔发包人违约的情形〕约定暂停施工满</w:t>
      </w:r>
      <w:r>
        <w:rPr>
          <w:rFonts w:hint="eastAsia" w:ascii="宋体" w:hAnsi="宋体" w:eastAsia="宋体" w:cs="宋体"/>
          <w:color w:val="auto"/>
          <w:kern w:val="0"/>
          <w:sz w:val="21"/>
          <w:szCs w:val="21"/>
          <w:highlight w:val="none"/>
          <w:u w:val="single"/>
        </w:rPr>
        <w:t xml:space="preserve"> 28 </w:t>
      </w:r>
      <w:r>
        <w:rPr>
          <w:rFonts w:hint="eastAsia" w:ascii="宋体" w:hAnsi="宋体" w:eastAsia="宋体" w:cs="宋体"/>
          <w:color w:val="auto"/>
          <w:kern w:val="0"/>
          <w:sz w:val="21"/>
          <w:szCs w:val="21"/>
          <w:highlight w:val="none"/>
        </w:rPr>
        <w:t>天后发包人仍不纠正其违约行为并致使合同目的不能实现的，承包人有权解除合同。</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28" w:name="_Toc10226"/>
      <w:bookmarkStart w:id="1129" w:name="_Toc356979891"/>
      <w:bookmarkStart w:id="1130" w:name="_Toc808083520"/>
      <w:r>
        <w:rPr>
          <w:rFonts w:hint="eastAsia" w:ascii="宋体" w:hAnsi="宋体" w:eastAsia="宋体" w:cs="宋体"/>
          <w:color w:val="auto"/>
          <w:sz w:val="21"/>
          <w:szCs w:val="21"/>
          <w:highlight w:val="none"/>
        </w:rPr>
        <w:t>16.2 承包人违约</w:t>
      </w:r>
      <w:bookmarkEnd w:id="1128"/>
      <w:bookmarkEnd w:id="1129"/>
      <w:bookmarkEnd w:id="1130"/>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16.2.1 承包人违约的情形</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承包人违约的其他情形：</w:t>
      </w:r>
      <w:r>
        <w:rPr>
          <w:rFonts w:hint="eastAsia" w:ascii="宋体" w:hAnsi="宋体" w:eastAsia="宋体" w:cs="宋体"/>
          <w:color w:val="auto"/>
          <w:kern w:val="0"/>
          <w:sz w:val="21"/>
          <w:szCs w:val="21"/>
          <w:highlight w:val="none"/>
          <w:u w:val="single"/>
        </w:rPr>
        <w:t xml:space="preserve">   执行</w:t>
      </w:r>
      <w:r>
        <w:rPr>
          <w:rFonts w:hint="eastAsia" w:ascii="宋体" w:hAnsi="宋体" w:cs="宋体"/>
          <w:color w:val="auto"/>
          <w:kern w:val="0"/>
          <w:sz w:val="21"/>
          <w:szCs w:val="21"/>
          <w:highlight w:val="none"/>
          <w:u w:val="single"/>
          <w:lang w:eastAsia="zh-CN"/>
        </w:rPr>
        <w:t>通用</w:t>
      </w:r>
      <w:r>
        <w:rPr>
          <w:rFonts w:hint="eastAsia" w:ascii="宋体" w:hAnsi="宋体" w:eastAsia="宋体" w:cs="宋体"/>
          <w:color w:val="auto"/>
          <w:kern w:val="0"/>
          <w:sz w:val="21"/>
          <w:szCs w:val="21"/>
          <w:highlight w:val="none"/>
          <w:u w:val="single"/>
        </w:rPr>
        <w:t xml:space="preserve">条款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16.2.2 承包人违约的责任</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承包人违约责任的承担方式和计算方法：</w:t>
      </w:r>
      <w:r>
        <w:rPr>
          <w:rFonts w:hint="eastAsia" w:ascii="宋体" w:hAnsi="宋体" w:eastAsia="宋体" w:cs="宋体"/>
          <w:color w:val="auto"/>
          <w:kern w:val="0"/>
          <w:sz w:val="21"/>
          <w:szCs w:val="21"/>
          <w:highlight w:val="none"/>
          <w:u w:val="single"/>
        </w:rPr>
        <w:t>执行</w:t>
      </w:r>
      <w:r>
        <w:rPr>
          <w:rFonts w:hint="eastAsia" w:ascii="宋体" w:hAnsi="宋体" w:cs="宋体"/>
          <w:color w:val="auto"/>
          <w:kern w:val="0"/>
          <w:sz w:val="21"/>
          <w:szCs w:val="21"/>
          <w:highlight w:val="none"/>
          <w:u w:val="single"/>
          <w:lang w:eastAsia="zh-CN"/>
        </w:rPr>
        <w:t>通用</w:t>
      </w:r>
      <w:r>
        <w:rPr>
          <w:rFonts w:hint="eastAsia" w:ascii="宋体" w:hAnsi="宋体" w:eastAsia="宋体" w:cs="宋体"/>
          <w:color w:val="auto"/>
          <w:kern w:val="0"/>
          <w:sz w:val="21"/>
          <w:szCs w:val="21"/>
          <w:highlight w:val="none"/>
          <w:u w:val="single"/>
        </w:rPr>
        <w:t>条款</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 xml:space="preserve">   </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16.2.3 因承包人违约解除合同</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关于承包人违约解除合同的特别约定：</w:t>
      </w:r>
      <w:r>
        <w:rPr>
          <w:rFonts w:hint="eastAsia" w:ascii="宋体" w:hAnsi="宋体" w:eastAsia="宋体" w:cs="宋体"/>
          <w:color w:val="auto"/>
          <w:kern w:val="0"/>
          <w:sz w:val="21"/>
          <w:szCs w:val="21"/>
          <w:highlight w:val="none"/>
          <w:u w:val="single"/>
        </w:rPr>
        <w:t xml:space="preserve">  执行</w:t>
      </w:r>
      <w:r>
        <w:rPr>
          <w:rFonts w:hint="eastAsia" w:ascii="宋体" w:hAnsi="宋体" w:cs="宋体"/>
          <w:color w:val="auto"/>
          <w:kern w:val="0"/>
          <w:sz w:val="21"/>
          <w:szCs w:val="21"/>
          <w:highlight w:val="none"/>
          <w:u w:val="single"/>
          <w:lang w:eastAsia="zh-CN"/>
        </w:rPr>
        <w:t>通用</w:t>
      </w:r>
      <w:r>
        <w:rPr>
          <w:rFonts w:hint="eastAsia" w:ascii="宋体" w:hAnsi="宋体" w:eastAsia="宋体" w:cs="宋体"/>
          <w:color w:val="auto"/>
          <w:kern w:val="0"/>
          <w:sz w:val="21"/>
          <w:szCs w:val="21"/>
          <w:highlight w:val="none"/>
          <w:u w:val="single"/>
        </w:rPr>
        <w:t>条款</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eastAsia="zh-CN"/>
        </w:rPr>
        <w:t>由承包人</w:t>
      </w:r>
      <w:r>
        <w:rPr>
          <w:rFonts w:hint="eastAsia" w:ascii="宋体" w:hAnsi="宋体" w:eastAsia="宋体" w:cs="宋体"/>
          <w:color w:val="auto"/>
          <w:kern w:val="0"/>
          <w:sz w:val="21"/>
          <w:szCs w:val="21"/>
          <w:highlight w:val="none"/>
          <w:u w:val="single"/>
        </w:rPr>
        <w:t xml:space="preserve">承担 </w:t>
      </w:r>
      <w:r>
        <w:rPr>
          <w:rFonts w:hint="eastAsia" w:ascii="宋体" w:hAnsi="宋体" w:eastAsia="宋体" w:cs="宋体"/>
          <w:color w:val="auto"/>
          <w:kern w:val="0"/>
          <w:sz w:val="21"/>
          <w:szCs w:val="21"/>
          <w:highlight w:val="none"/>
        </w:rPr>
        <w:t>。</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131" w:name="_Toc812123563"/>
      <w:bookmarkStart w:id="1132" w:name="_Toc2079114017"/>
      <w:r>
        <w:rPr>
          <w:rFonts w:hint="eastAsia" w:ascii="宋体" w:hAnsi="宋体" w:eastAsia="宋体" w:cs="宋体"/>
          <w:b w:val="0"/>
          <w:color w:val="auto"/>
          <w:sz w:val="21"/>
          <w:szCs w:val="21"/>
          <w:highlight w:val="none"/>
        </w:rPr>
        <w:t>17. 不可抗力</w:t>
      </w:r>
      <w:bookmarkEnd w:id="1131"/>
      <w:bookmarkEnd w:id="1132"/>
      <w:r>
        <w:rPr>
          <w:rFonts w:hint="eastAsia" w:ascii="宋体" w:hAnsi="宋体" w:eastAsia="宋体" w:cs="宋体"/>
          <w:b w:val="0"/>
          <w:color w:val="auto"/>
          <w:sz w:val="21"/>
          <w:szCs w:val="21"/>
          <w:highlight w:val="none"/>
        </w:rPr>
        <w:t xml:space="preserve"> </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33" w:name="_Toc9363"/>
      <w:bookmarkStart w:id="1134" w:name="_Toc1018645862"/>
      <w:bookmarkStart w:id="1135" w:name="_Toc1806635917"/>
      <w:r>
        <w:rPr>
          <w:rFonts w:hint="eastAsia" w:ascii="宋体" w:hAnsi="宋体" w:eastAsia="宋体" w:cs="宋体"/>
          <w:color w:val="auto"/>
          <w:sz w:val="21"/>
          <w:szCs w:val="21"/>
          <w:highlight w:val="none"/>
        </w:rPr>
        <w:t>17.1 不可抗力的确认</w:t>
      </w:r>
      <w:bookmarkEnd w:id="1133"/>
      <w:bookmarkEnd w:id="1134"/>
      <w:bookmarkEnd w:id="1135"/>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除通用合同条款约定的不可抗力事件之外，视为不可抗力的其他情形：</w:t>
      </w:r>
      <w:r>
        <w:rPr>
          <w:rFonts w:hint="eastAsia" w:ascii="宋体" w:hAnsi="宋体" w:eastAsia="宋体" w:cs="宋体"/>
          <w:color w:val="auto"/>
          <w:kern w:val="0"/>
          <w:sz w:val="21"/>
          <w:szCs w:val="21"/>
          <w:highlight w:val="none"/>
          <w:u w:val="single"/>
        </w:rPr>
        <w:t xml:space="preserve"> 无</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36" w:name="_Toc24645"/>
      <w:bookmarkStart w:id="1137" w:name="_Toc11690251"/>
      <w:bookmarkStart w:id="1138" w:name="_Toc1010713786"/>
      <w:r>
        <w:rPr>
          <w:rFonts w:hint="eastAsia" w:ascii="宋体" w:hAnsi="宋体" w:eastAsia="宋体" w:cs="宋体"/>
          <w:color w:val="auto"/>
          <w:sz w:val="21"/>
          <w:szCs w:val="21"/>
          <w:highlight w:val="none"/>
        </w:rPr>
        <w:t>17.4 因不可抗力解除合同</w:t>
      </w:r>
      <w:bookmarkEnd w:id="1136"/>
      <w:bookmarkEnd w:id="1137"/>
      <w:bookmarkEnd w:id="1138"/>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合同解除后，发包人应在</w:t>
      </w:r>
      <w:r>
        <w:rPr>
          <w:rFonts w:hint="eastAsia" w:ascii="宋体" w:hAnsi="宋体" w:eastAsia="宋体" w:cs="宋体"/>
          <w:color w:val="auto"/>
          <w:sz w:val="21"/>
          <w:szCs w:val="21"/>
          <w:highlight w:val="none"/>
          <w:u w:val="single"/>
        </w:rPr>
        <w:t>政府资金调度会批准且发票送达一周内</w:t>
      </w:r>
      <w:r>
        <w:rPr>
          <w:rFonts w:hint="eastAsia" w:ascii="宋体" w:hAnsi="宋体" w:eastAsia="宋体" w:cs="宋体"/>
          <w:color w:val="auto"/>
          <w:sz w:val="21"/>
          <w:szCs w:val="21"/>
          <w:highlight w:val="none"/>
        </w:rPr>
        <w:t>内完成款项的支付。</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139" w:name="_Toc1270684127"/>
      <w:bookmarkStart w:id="1140" w:name="_Toc266453569"/>
      <w:r>
        <w:rPr>
          <w:rFonts w:hint="eastAsia" w:ascii="宋体" w:hAnsi="宋体" w:eastAsia="宋体" w:cs="宋体"/>
          <w:b w:val="0"/>
          <w:color w:val="auto"/>
          <w:sz w:val="21"/>
          <w:szCs w:val="21"/>
          <w:highlight w:val="none"/>
        </w:rPr>
        <w:t>18. 保险</w:t>
      </w:r>
      <w:bookmarkEnd w:id="1139"/>
      <w:bookmarkEnd w:id="1140"/>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41" w:name="_Toc29058"/>
      <w:bookmarkStart w:id="1142" w:name="_Toc552342053"/>
      <w:bookmarkStart w:id="1143" w:name="_Toc995365961"/>
      <w:r>
        <w:rPr>
          <w:rFonts w:hint="eastAsia" w:ascii="宋体" w:hAnsi="宋体" w:eastAsia="宋体" w:cs="宋体"/>
          <w:color w:val="auto"/>
          <w:sz w:val="21"/>
          <w:szCs w:val="21"/>
          <w:highlight w:val="none"/>
        </w:rPr>
        <w:t>18.1 工程保险</w:t>
      </w:r>
      <w:bookmarkEnd w:id="1141"/>
      <w:bookmarkEnd w:id="1142"/>
      <w:bookmarkEnd w:id="1143"/>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关于工程保险的特别约定：</w:t>
      </w:r>
      <w:r>
        <w:rPr>
          <w:rFonts w:hint="eastAsia" w:ascii="宋体" w:hAnsi="宋体" w:eastAsia="宋体" w:cs="宋体"/>
          <w:color w:val="auto"/>
          <w:kern w:val="0"/>
          <w:sz w:val="21"/>
          <w:szCs w:val="21"/>
          <w:highlight w:val="none"/>
          <w:u w:val="single"/>
        </w:rPr>
        <w:t xml:space="preserve">      无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44" w:name="_Toc11083"/>
      <w:bookmarkStart w:id="1145" w:name="_Toc1356197126"/>
      <w:bookmarkStart w:id="1146" w:name="_Toc1714078037"/>
      <w:r>
        <w:rPr>
          <w:rFonts w:hint="eastAsia" w:ascii="宋体" w:hAnsi="宋体" w:eastAsia="宋体" w:cs="宋体"/>
          <w:color w:val="auto"/>
          <w:sz w:val="21"/>
          <w:szCs w:val="21"/>
          <w:highlight w:val="none"/>
        </w:rPr>
        <w:t>18.3 其他保险</w:t>
      </w:r>
      <w:bookmarkEnd w:id="1144"/>
      <w:bookmarkEnd w:id="1145"/>
      <w:bookmarkEnd w:id="1146"/>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关于其他保险的约定：</w:t>
      </w:r>
      <w:r>
        <w:rPr>
          <w:rFonts w:hint="eastAsia" w:ascii="宋体" w:hAnsi="宋体" w:eastAsia="宋体" w:cs="宋体"/>
          <w:color w:val="auto"/>
          <w:kern w:val="0"/>
          <w:sz w:val="21"/>
          <w:szCs w:val="21"/>
          <w:highlight w:val="none"/>
          <w:u w:val="single"/>
        </w:rPr>
        <w:t xml:space="preserve"> 执行国家、省、市有关规定  </w:t>
      </w:r>
      <w:r>
        <w:rPr>
          <w:rFonts w:hint="eastAsia" w:ascii="宋体" w:hAnsi="宋体" w:eastAsia="宋体" w:cs="宋体"/>
          <w:color w:val="auto"/>
          <w:kern w:val="0"/>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承包人是否应为其施工设备等办理财产保险：</w:t>
      </w:r>
      <w:r>
        <w:rPr>
          <w:rFonts w:hint="eastAsia" w:ascii="宋体" w:hAnsi="宋体" w:eastAsia="宋体" w:cs="宋体"/>
          <w:color w:val="auto"/>
          <w:sz w:val="21"/>
          <w:szCs w:val="21"/>
          <w:highlight w:val="none"/>
          <w:u w:val="single"/>
        </w:rPr>
        <w:t xml:space="preserve">  承包人应为其施工设备等办理财产保险</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47" w:name="_Toc23310917"/>
      <w:bookmarkStart w:id="1148" w:name="_Toc221254894"/>
      <w:bookmarkStart w:id="1149" w:name="_Toc4543"/>
      <w:r>
        <w:rPr>
          <w:rFonts w:hint="eastAsia" w:ascii="宋体" w:hAnsi="宋体" w:eastAsia="宋体" w:cs="宋体"/>
          <w:color w:val="auto"/>
          <w:sz w:val="21"/>
          <w:szCs w:val="21"/>
          <w:highlight w:val="none"/>
        </w:rPr>
        <w:t>18.7 通知义务</w:t>
      </w:r>
      <w:bookmarkEnd w:id="1147"/>
      <w:bookmarkEnd w:id="1148"/>
      <w:bookmarkEnd w:id="1149"/>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关于变更保险合同时的通知义务的约定：</w:t>
      </w:r>
      <w:r>
        <w:rPr>
          <w:rFonts w:hint="eastAsia" w:ascii="宋体" w:hAnsi="宋体" w:eastAsia="宋体" w:cs="宋体"/>
          <w:color w:val="auto"/>
          <w:sz w:val="21"/>
          <w:szCs w:val="21"/>
          <w:highlight w:val="none"/>
          <w:u w:val="single"/>
        </w:rPr>
        <w:t xml:space="preserve"> 发包人变更除工伤保险之外的保险合同时，应事先征得承包人同意，并通知监理人；承包人变更除工伤保险之外的保险合同时，应事先征得发包人同意，并通知监理人。</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保险事故发生时，投保人应按照保险合同规定的条件和期限及时向保险人报告。发包人和承包人应当在知道保险事故发生后及时通知对方。</w:t>
      </w:r>
    </w:p>
    <w:p>
      <w:pPr>
        <w:pStyle w:val="6"/>
        <w:pageBreakBefore w:val="0"/>
        <w:kinsoku/>
        <w:wordWrap/>
        <w:overflowPunct/>
        <w:topLinePunct w:val="0"/>
        <w:bidi w:val="0"/>
        <w:spacing w:before="0" w:beforeLines="0" w:after="0" w:afterLines="0" w:line="312" w:lineRule="auto"/>
        <w:textAlignment w:val="auto"/>
        <w:rPr>
          <w:rFonts w:hint="eastAsia" w:ascii="宋体" w:hAnsi="宋体" w:eastAsia="宋体" w:cs="宋体"/>
          <w:b w:val="0"/>
          <w:color w:val="auto"/>
          <w:sz w:val="21"/>
          <w:szCs w:val="21"/>
          <w:highlight w:val="none"/>
        </w:rPr>
      </w:pPr>
      <w:bookmarkStart w:id="1150" w:name="_Toc226165635"/>
      <w:bookmarkStart w:id="1151" w:name="_Toc417085405"/>
      <w:r>
        <w:rPr>
          <w:rFonts w:hint="eastAsia" w:ascii="宋体" w:hAnsi="宋体" w:eastAsia="宋体" w:cs="宋体"/>
          <w:b w:val="0"/>
          <w:color w:val="auto"/>
          <w:sz w:val="21"/>
          <w:szCs w:val="21"/>
          <w:highlight w:val="none"/>
        </w:rPr>
        <w:t>20. 争议解决</w:t>
      </w:r>
      <w:bookmarkEnd w:id="1150"/>
      <w:bookmarkEnd w:id="1151"/>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52" w:name="_Toc846612084"/>
      <w:bookmarkStart w:id="1153" w:name="_Toc4610"/>
      <w:bookmarkStart w:id="1154" w:name="_Toc1731520220"/>
      <w:r>
        <w:rPr>
          <w:rFonts w:hint="eastAsia" w:ascii="宋体" w:hAnsi="宋体" w:eastAsia="宋体" w:cs="宋体"/>
          <w:color w:val="auto"/>
          <w:sz w:val="21"/>
          <w:szCs w:val="21"/>
          <w:highlight w:val="none"/>
        </w:rPr>
        <w:t>20.3 争议评审</w:t>
      </w:r>
      <w:bookmarkEnd w:id="1152"/>
      <w:bookmarkEnd w:id="1153"/>
      <w:bookmarkEnd w:id="1154"/>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本款补充20.3.1。</w:t>
      </w:r>
    </w:p>
    <w:p>
      <w:pPr>
        <w:pageBreakBefore w:val="0"/>
        <w:kinsoku/>
        <w:wordWrap/>
        <w:overflowPunct/>
        <w:topLinePunct w:val="0"/>
        <w:bidi w:val="0"/>
        <w:spacing w:line="312" w:lineRule="auto"/>
        <w:ind w:left="149" w:leftChars="71" w:firstLine="315" w:firstLineChars="1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合同当事人是否同意将工程争议提交争议评审小组决定：</w:t>
      </w:r>
      <w:r>
        <w:rPr>
          <w:rFonts w:hint="eastAsia" w:ascii="宋体" w:hAnsi="宋体" w:eastAsia="宋体" w:cs="宋体"/>
          <w:color w:val="auto"/>
          <w:sz w:val="21"/>
          <w:szCs w:val="21"/>
          <w:highlight w:val="none"/>
          <w:u w:val="single"/>
        </w:rPr>
        <w:t xml:space="preserve">不同意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20.3.1 争议评审小组的确定</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关于评审机构的约定：</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争议评审小组成员的确定：</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选定争议评审员的期限：</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争议评审小组成员的报酬承担方式：</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其他事项的约定：</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ageBreakBefore w:val="0"/>
        <w:kinsoku/>
        <w:wordWrap/>
        <w:overflowPunct/>
        <w:topLinePunct w:val="0"/>
        <w:autoSpaceDE w:val="0"/>
        <w:autoSpaceDN w:val="0"/>
        <w:bidi w:val="0"/>
        <w:adjustRightInd w:val="0"/>
        <w:spacing w:line="312"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20.3.2 争议评审小组的决定</w:t>
      </w:r>
    </w:p>
    <w:p>
      <w:pPr>
        <w:pageBreakBefore w:val="0"/>
        <w:kinsoku/>
        <w:wordWrap/>
        <w:overflowPunct/>
        <w:topLinePunct w:val="0"/>
        <w:bidi w:val="0"/>
        <w:spacing w:line="312" w:lineRule="auto"/>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合同当事人关于本项的约定：</w:t>
      </w:r>
      <w:r>
        <w:rPr>
          <w:rFonts w:hint="eastAsia" w:ascii="宋体" w:hAnsi="宋体" w:eastAsia="宋体" w:cs="宋体"/>
          <w:color w:val="auto"/>
          <w:sz w:val="21"/>
          <w:szCs w:val="21"/>
          <w:highlight w:val="none"/>
          <w:u w:val="single"/>
        </w:rPr>
        <w:t xml:space="preserve">      无              </w:t>
      </w:r>
      <w:r>
        <w:rPr>
          <w:rFonts w:hint="eastAsia" w:ascii="宋体" w:hAnsi="宋体" w:eastAsia="宋体" w:cs="宋体"/>
          <w:color w:val="auto"/>
          <w:sz w:val="21"/>
          <w:szCs w:val="21"/>
          <w:highlight w:val="none"/>
        </w:rPr>
        <w:t>。</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55" w:name="_Toc30811"/>
      <w:bookmarkStart w:id="1156" w:name="_Toc2061672555"/>
      <w:bookmarkStart w:id="1157" w:name="_Toc1638028047"/>
      <w:r>
        <w:rPr>
          <w:rFonts w:hint="eastAsia" w:ascii="宋体" w:hAnsi="宋体" w:eastAsia="宋体" w:cs="宋体"/>
          <w:color w:val="auto"/>
          <w:sz w:val="21"/>
          <w:szCs w:val="21"/>
          <w:highlight w:val="none"/>
        </w:rPr>
        <w:t>20.4 仲裁或诉讼</w:t>
      </w:r>
      <w:bookmarkEnd w:id="1155"/>
      <w:bookmarkEnd w:id="1156"/>
      <w:bookmarkEnd w:id="1157"/>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本款修改为：</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因合同及合同有关事项发生的争议，按下列第</w:t>
      </w:r>
      <w:r>
        <w:rPr>
          <w:rFonts w:hint="eastAsia" w:ascii="宋体" w:hAnsi="宋体" w:eastAsia="宋体" w:cs="宋体"/>
          <w:color w:val="auto"/>
          <w:sz w:val="21"/>
          <w:szCs w:val="21"/>
          <w:highlight w:val="none"/>
          <w:u w:val="single"/>
        </w:rPr>
        <w:t xml:space="preserve">  1  </w:t>
      </w:r>
      <w:r>
        <w:rPr>
          <w:rFonts w:hint="eastAsia" w:ascii="宋体" w:hAnsi="宋体" w:eastAsia="宋体" w:cs="宋体"/>
          <w:color w:val="auto"/>
          <w:sz w:val="21"/>
          <w:szCs w:val="21"/>
          <w:highlight w:val="none"/>
        </w:rPr>
        <w:t>种方式解决：</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w:t>
      </w:r>
      <w:r>
        <w:rPr>
          <w:rFonts w:hint="eastAsia" w:ascii="宋体" w:hAnsi="宋体" w:eastAsia="宋体" w:cs="宋体"/>
          <w:color w:val="auto"/>
          <w:sz w:val="21"/>
          <w:szCs w:val="21"/>
          <w:highlight w:val="none"/>
          <w:u w:val="single"/>
        </w:rPr>
        <w:t xml:space="preserve">      滁州     </w:t>
      </w:r>
      <w:r>
        <w:rPr>
          <w:rFonts w:hint="eastAsia" w:ascii="宋体" w:hAnsi="宋体" w:eastAsia="宋体" w:cs="宋体"/>
          <w:color w:val="auto"/>
          <w:sz w:val="21"/>
          <w:szCs w:val="21"/>
          <w:highlight w:val="none"/>
        </w:rPr>
        <w:t>仲裁委员会申请仲裁；</w:t>
      </w:r>
    </w:p>
    <w:p>
      <w:pPr>
        <w:pageBreakBefore w:val="0"/>
        <w:kinsoku/>
        <w:wordWrap/>
        <w:overflowPunct/>
        <w:topLinePunct w:val="0"/>
        <w:bidi w:val="0"/>
        <w:spacing w:line="312"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（2）依法向</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人民法院起诉。</w:t>
      </w:r>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sz w:val="21"/>
          <w:szCs w:val="21"/>
          <w:highlight w:val="none"/>
        </w:rPr>
      </w:pPr>
      <w:bookmarkStart w:id="1158" w:name="_Toc365353596"/>
      <w:bookmarkStart w:id="1159" w:name="_Toc452738762"/>
      <w:bookmarkStart w:id="1160" w:name="_Toc6183"/>
      <w:r>
        <w:rPr>
          <w:rFonts w:hint="eastAsia" w:ascii="宋体" w:hAnsi="宋体" w:eastAsia="宋体" w:cs="宋体"/>
          <w:color w:val="auto"/>
          <w:sz w:val="21"/>
          <w:szCs w:val="21"/>
          <w:highlight w:val="none"/>
        </w:rPr>
        <w:t>20.6 通知送达</w:t>
      </w:r>
      <w:bookmarkEnd w:id="1158"/>
      <w:bookmarkEnd w:id="1159"/>
      <w:bookmarkEnd w:id="1160"/>
    </w:p>
    <w:p>
      <w:pPr>
        <w:pageBreakBefore w:val="0"/>
        <w:kinsoku/>
        <w:wordWrap/>
        <w:overflowPunct/>
        <w:topLinePunct w:val="0"/>
        <w:bidi w:val="0"/>
        <w:spacing w:line="312" w:lineRule="auto"/>
        <w:ind w:firstLine="420" w:firstLineChars="200"/>
        <w:textAlignment w:val="auto"/>
        <w:outlineLvl w:val="2"/>
        <w:rPr>
          <w:rFonts w:hint="eastAsia" w:ascii="宋体" w:hAnsi="宋体" w:eastAsia="宋体" w:cs="宋体"/>
          <w:color w:val="auto"/>
          <w:kern w:val="0"/>
          <w:sz w:val="21"/>
          <w:szCs w:val="21"/>
          <w:highlight w:val="none"/>
        </w:rPr>
      </w:pPr>
      <w:bookmarkStart w:id="1161" w:name="_Toc1414635822"/>
      <w:bookmarkStart w:id="1162" w:name="_Toc626862138"/>
      <w:bookmarkStart w:id="1163" w:name="_Toc18712"/>
      <w:r>
        <w:rPr>
          <w:rFonts w:hint="eastAsia" w:ascii="宋体" w:hAnsi="宋体" w:eastAsia="宋体" w:cs="宋体"/>
          <w:color w:val="auto"/>
          <w:kern w:val="0"/>
          <w:sz w:val="21"/>
          <w:szCs w:val="21"/>
          <w:highlight w:val="none"/>
        </w:rPr>
        <w:t>双方确认本合同载明的联系方式（联系电话、电子信箱、传真号码及通信地址）准确无误，如有变更应以书面方式及时通知另一方。由于一方联系方式错误、不详或者无法识别等导致无法送达，或者联系方式变更未及时通知另一方，以及其他不可归责于送达方原因造成相关通知或者文件无法送达、拒绝签收，则相关通知或文件自寄送或发送后第</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7</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天起视为已送达。</w:t>
      </w:r>
      <w:bookmarkEnd w:id="1161"/>
      <w:bookmarkEnd w:id="1162"/>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21</w:t>
      </w:r>
      <w:r>
        <w:rPr>
          <w:rFonts w:hint="eastAsia" w:ascii="宋体" w:hAnsi="宋体" w:eastAsia="宋体" w:cs="宋体"/>
          <w:color w:val="auto"/>
          <w:sz w:val="21"/>
          <w:szCs w:val="21"/>
          <w:highlight w:val="none"/>
        </w:rPr>
        <w:t>、执行滁州市重点</w:t>
      </w:r>
      <w:r>
        <w:rPr>
          <w:rFonts w:hint="eastAsia" w:ascii="宋体" w:hAnsi="宋体" w:cs="宋体"/>
          <w:color w:val="auto"/>
          <w:sz w:val="21"/>
          <w:szCs w:val="21"/>
          <w:highlight w:val="none"/>
          <w:lang w:eastAsia="zh-CN"/>
        </w:rPr>
        <w:t>工程建设管理</w:t>
      </w:r>
      <w:r>
        <w:rPr>
          <w:rFonts w:hint="eastAsia" w:ascii="宋体" w:hAnsi="宋体" w:eastAsia="宋体" w:cs="宋体"/>
          <w:color w:val="auto"/>
          <w:sz w:val="21"/>
          <w:szCs w:val="21"/>
          <w:highlight w:val="none"/>
        </w:rPr>
        <w:t>处相关现行文件规定并作为</w:t>
      </w:r>
      <w:r>
        <w:rPr>
          <w:rFonts w:hint="eastAsia" w:ascii="宋体" w:hAnsi="宋体" w:cs="宋体"/>
          <w:color w:val="auto"/>
          <w:sz w:val="21"/>
          <w:szCs w:val="21"/>
          <w:highlight w:val="none"/>
          <w:lang w:eastAsia="zh-CN"/>
        </w:rPr>
        <w:t>合同</w:t>
      </w:r>
      <w:r>
        <w:rPr>
          <w:rFonts w:hint="eastAsia" w:ascii="宋体" w:hAnsi="宋体" w:eastAsia="宋体" w:cs="宋体"/>
          <w:color w:val="auto"/>
          <w:sz w:val="21"/>
          <w:szCs w:val="21"/>
          <w:highlight w:val="none"/>
        </w:rPr>
        <w:t>附件。</w:t>
      </w:r>
    </w:p>
    <w:p>
      <w:pPr>
        <w:pageBreakBefore w:val="0"/>
        <w:kinsoku/>
        <w:wordWrap/>
        <w:overflowPunct/>
        <w:topLinePunct w:val="0"/>
        <w:bidi w:val="0"/>
        <w:spacing w:line="312"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22</w:t>
      </w:r>
      <w:r>
        <w:rPr>
          <w:rFonts w:hint="eastAsia" w:ascii="宋体" w:hAnsi="宋体" w:eastAsia="宋体" w:cs="宋体"/>
          <w:color w:val="auto"/>
          <w:sz w:val="21"/>
          <w:szCs w:val="21"/>
          <w:highlight w:val="none"/>
        </w:rPr>
        <w:t>、本合同文本未尽事宜，由合同签定双方在发生时具体商定。</w:t>
      </w:r>
    </w:p>
    <w:p>
      <w:pPr>
        <w:pageBreakBefore w:val="0"/>
        <w:kinsoku/>
        <w:wordWrap/>
        <w:overflowPunct/>
        <w:topLinePunct w:val="0"/>
        <w:bidi w:val="0"/>
        <w:textAlignment w:val="auto"/>
        <w:rPr>
          <w:color w:val="auto"/>
          <w:highlight w:val="none"/>
        </w:rPr>
        <w:sectPr>
          <w:footerReference r:id="rId14" w:type="default"/>
          <w:pgSz w:w="11906" w:h="16838"/>
          <w:pgMar w:top="2098" w:right="1644" w:bottom="1984" w:left="1644" w:header="851" w:footer="1417" w:gutter="0"/>
          <w:pgNumType w:fmt="numberInDash"/>
          <w:cols w:space="720" w:num="1"/>
          <w:docGrid w:type="lines" w:linePitch="312" w:charSpace="0"/>
        </w:sectPr>
      </w:pPr>
    </w:p>
    <w:p>
      <w:pPr>
        <w:outlineLvl w:val="1"/>
        <w:rPr>
          <w:rFonts w:ascii="仿宋_GB2312" w:hAnsi="仿宋_GB2312" w:eastAsia="仿宋_GB2312" w:cs="仿宋_GB2312"/>
          <w:color w:val="auto"/>
          <w:sz w:val="30"/>
          <w:szCs w:val="32"/>
          <w:highlight w:val="none"/>
        </w:rPr>
      </w:pPr>
      <w:bookmarkStart w:id="1164" w:name="_Toc1508364105"/>
      <w:bookmarkStart w:id="1165" w:name="_Toc465626090"/>
      <w:bookmarkStart w:id="1166" w:name="_Toc372503870"/>
      <w:r>
        <w:rPr>
          <w:rFonts w:hint="eastAsia" w:ascii="仿宋_GB2312" w:hAnsi="仿宋_GB2312" w:eastAsia="仿宋_GB2312" w:cs="仿宋_GB2312"/>
          <w:color w:val="auto"/>
          <w:sz w:val="30"/>
          <w:szCs w:val="32"/>
          <w:highlight w:val="none"/>
        </w:rPr>
        <w:t>附件</w:t>
      </w:r>
      <w:r>
        <w:rPr>
          <w:rFonts w:ascii="仿宋_GB2312" w:hAnsi="仿宋_GB2312" w:eastAsia="仿宋_GB2312" w:cs="仿宋_GB2312"/>
          <w:color w:val="auto"/>
          <w:sz w:val="30"/>
          <w:szCs w:val="32"/>
          <w:highlight w:val="none"/>
        </w:rPr>
        <w:t>1</w:t>
      </w:r>
      <w:r>
        <w:rPr>
          <w:rFonts w:hint="eastAsia" w:ascii="仿宋_GB2312" w:hAnsi="仿宋_GB2312" w:eastAsia="仿宋_GB2312" w:cs="仿宋_GB2312"/>
          <w:color w:val="auto"/>
          <w:sz w:val="30"/>
          <w:szCs w:val="32"/>
          <w:highlight w:val="none"/>
        </w:rPr>
        <w:t>：</w:t>
      </w:r>
      <w:bookmarkEnd w:id="1164"/>
      <w:bookmarkEnd w:id="1165"/>
      <w:bookmarkEnd w:id="1166"/>
    </w:p>
    <w:p>
      <w:pPr>
        <w:autoSpaceDE w:val="0"/>
        <w:autoSpaceDN w:val="0"/>
        <w:adjustRightInd w:val="0"/>
        <w:snapToGrid w:val="0"/>
        <w:spacing w:line="360" w:lineRule="auto"/>
        <w:jc w:val="center"/>
        <w:outlineLvl w:val="1"/>
        <w:rPr>
          <w:rFonts w:ascii="黑体" w:hAnsi="黑体" w:eastAsia="黑体" w:cs="黑体"/>
          <w:color w:val="auto"/>
          <w:sz w:val="30"/>
          <w:szCs w:val="30"/>
          <w:highlight w:val="none"/>
        </w:rPr>
      </w:pPr>
      <w:bookmarkStart w:id="1167" w:name="_Toc30667"/>
      <w:bookmarkStart w:id="1168" w:name="_Toc24448"/>
      <w:bookmarkStart w:id="1169" w:name="_Toc1334624912"/>
      <w:bookmarkStart w:id="1170" w:name="_Toc19812"/>
      <w:bookmarkStart w:id="1171" w:name="_Toc25532"/>
      <w:bookmarkStart w:id="1172" w:name="_Toc26207"/>
      <w:bookmarkStart w:id="1173" w:name="_Toc290402072"/>
      <w:bookmarkStart w:id="1174" w:name="_Toc8135"/>
      <w:r>
        <w:rPr>
          <w:rFonts w:hint="eastAsia" w:ascii="黑体" w:hAnsi="黑体" w:eastAsia="黑体" w:cs="黑体"/>
          <w:color w:val="auto"/>
          <w:sz w:val="30"/>
          <w:szCs w:val="30"/>
          <w:highlight w:val="none"/>
        </w:rPr>
        <w:t>承包人承揽工程项目一览表</w:t>
      </w:r>
      <w:bookmarkEnd w:id="1167"/>
      <w:bookmarkEnd w:id="1168"/>
      <w:bookmarkEnd w:id="1169"/>
      <w:bookmarkEnd w:id="1170"/>
      <w:bookmarkEnd w:id="1171"/>
      <w:bookmarkEnd w:id="1172"/>
      <w:bookmarkEnd w:id="1173"/>
      <w:bookmarkEnd w:id="1174"/>
    </w:p>
    <w:tbl>
      <w:tblPr>
        <w:tblStyle w:val="46"/>
        <w:tblW w:w="1375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19"/>
        <w:gridCol w:w="1701"/>
        <w:gridCol w:w="4961"/>
        <w:gridCol w:w="2126"/>
        <w:gridCol w:w="1843"/>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12"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单位工程名</w:t>
            </w:r>
            <w:r>
              <w:rPr>
                <w:rFonts w:ascii="仿宋_GB2312" w:hAnsi="仿宋_GB2312" w:eastAsia="仿宋_GB2312" w:cs="仿宋_GB2312"/>
                <w:color w:val="auto"/>
                <w:kern w:val="2"/>
                <w:sz w:val="28"/>
                <w:szCs w:val="28"/>
                <w:highlight w:val="none"/>
              </w:rPr>
              <w:t xml:space="preserve">    </w:t>
            </w:r>
            <w:r>
              <w:rPr>
                <w:rFonts w:hint="eastAsia" w:ascii="仿宋_GB2312" w:hAnsi="仿宋_GB2312" w:eastAsia="仿宋_GB2312" w:cs="仿宋_GB2312"/>
                <w:color w:val="auto"/>
                <w:kern w:val="2"/>
                <w:sz w:val="28"/>
                <w:szCs w:val="28"/>
                <w:highlight w:val="none"/>
              </w:rPr>
              <w:t>称</w:t>
            </w:r>
          </w:p>
        </w:tc>
        <w:tc>
          <w:tcPr>
            <w:tcW w:w="1701" w:type="dxa"/>
            <w:tcBorders>
              <w:top w:val="single" w:color="auto" w:sz="12"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建设规模</w:t>
            </w:r>
          </w:p>
        </w:tc>
        <w:tc>
          <w:tcPr>
            <w:tcW w:w="4961" w:type="dxa"/>
            <w:tcBorders>
              <w:top w:val="single" w:color="auto" w:sz="12"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主要内容</w:t>
            </w:r>
          </w:p>
        </w:tc>
        <w:tc>
          <w:tcPr>
            <w:tcW w:w="2126" w:type="dxa"/>
            <w:tcBorders>
              <w:top w:val="single" w:color="auto" w:sz="12"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合同价格（元）</w:t>
            </w:r>
          </w:p>
        </w:tc>
        <w:tc>
          <w:tcPr>
            <w:tcW w:w="1843" w:type="dxa"/>
            <w:tcBorders>
              <w:top w:val="single" w:color="auto" w:sz="12"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开工日期</w:t>
            </w:r>
          </w:p>
        </w:tc>
        <w:tc>
          <w:tcPr>
            <w:tcW w:w="1701" w:type="dxa"/>
            <w:tcBorders>
              <w:top w:val="single" w:color="auto" w:sz="12"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419" w:type="dxa"/>
            <w:tcBorders>
              <w:top w:val="single" w:color="auto" w:sz="4" w:space="0"/>
              <w:bottom w:val="single" w:color="auto" w:sz="12"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12"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4961" w:type="dxa"/>
            <w:tcBorders>
              <w:top w:val="single" w:color="auto" w:sz="4" w:space="0"/>
              <w:left w:val="single" w:color="auto" w:sz="4" w:space="0"/>
              <w:bottom w:val="single" w:color="auto" w:sz="12"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26" w:type="dxa"/>
            <w:tcBorders>
              <w:top w:val="single" w:color="auto" w:sz="4" w:space="0"/>
              <w:left w:val="single" w:color="auto" w:sz="4" w:space="0"/>
              <w:bottom w:val="single" w:color="auto" w:sz="12"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843" w:type="dxa"/>
            <w:tcBorders>
              <w:top w:val="single" w:color="auto" w:sz="4" w:space="0"/>
              <w:left w:val="single" w:color="auto" w:sz="4" w:space="0"/>
              <w:bottom w:val="single" w:color="auto" w:sz="12" w:space="0"/>
              <w:right w:val="single" w:color="auto" w:sz="4"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701" w:type="dxa"/>
            <w:tcBorders>
              <w:top w:val="single" w:color="auto" w:sz="4" w:space="0"/>
              <w:left w:val="single" w:color="auto" w:sz="4" w:space="0"/>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bl>
    <w:p>
      <w:pPr>
        <w:autoSpaceDE w:val="0"/>
        <w:autoSpaceDN w:val="0"/>
        <w:adjustRightInd w:val="0"/>
        <w:snapToGrid w:val="0"/>
        <w:spacing w:line="360" w:lineRule="auto"/>
        <w:outlineLvl w:val="9"/>
        <w:rPr>
          <w:rFonts w:ascii="黑体" w:hAnsi="黑体" w:eastAsia="黑体" w:cs="黑体"/>
          <w:color w:val="auto"/>
          <w:sz w:val="30"/>
          <w:szCs w:val="30"/>
          <w:highlight w:val="none"/>
        </w:rPr>
      </w:pPr>
    </w:p>
    <w:p>
      <w:pPr>
        <w:rPr>
          <w:rFonts w:eastAsia="仿宋_GB2312"/>
          <w:color w:val="auto"/>
          <w:sz w:val="30"/>
          <w:szCs w:val="32"/>
          <w:highlight w:val="none"/>
        </w:rPr>
        <w:sectPr>
          <w:pgSz w:w="16838" w:h="11906" w:orient="landscape"/>
          <w:pgMar w:top="1757" w:right="1531" w:bottom="1757" w:left="1531" w:header="851" w:footer="992" w:gutter="0"/>
          <w:pgNumType w:fmt="numberInDash"/>
          <w:cols w:space="720" w:num="1"/>
          <w:titlePg/>
          <w:docGrid w:type="lines" w:linePitch="312" w:charSpace="0"/>
        </w:sectPr>
      </w:pPr>
    </w:p>
    <w:p>
      <w:pPr>
        <w:outlineLvl w:val="1"/>
        <w:rPr>
          <w:rFonts w:ascii="仿宋_GB2312" w:hAnsi="仿宋_GB2312" w:eastAsia="仿宋_GB2312" w:cs="仿宋_GB2312"/>
          <w:color w:val="auto"/>
          <w:sz w:val="30"/>
          <w:szCs w:val="32"/>
          <w:highlight w:val="none"/>
        </w:rPr>
      </w:pPr>
      <w:bookmarkStart w:id="1175" w:name="_Toc48854864"/>
      <w:bookmarkStart w:id="1176" w:name="_Toc381252179"/>
      <w:bookmarkStart w:id="1177" w:name="_Toc87754172"/>
      <w:r>
        <w:rPr>
          <w:rFonts w:hint="eastAsia" w:ascii="仿宋_GB2312" w:hAnsi="仿宋_GB2312" w:eastAsia="仿宋_GB2312" w:cs="仿宋_GB2312"/>
          <w:color w:val="auto"/>
          <w:sz w:val="30"/>
          <w:szCs w:val="32"/>
          <w:highlight w:val="none"/>
        </w:rPr>
        <w:t>附件</w:t>
      </w:r>
      <w:r>
        <w:rPr>
          <w:rFonts w:ascii="仿宋_GB2312" w:hAnsi="仿宋_GB2312" w:eastAsia="仿宋_GB2312" w:cs="仿宋_GB2312"/>
          <w:color w:val="auto"/>
          <w:sz w:val="30"/>
          <w:szCs w:val="32"/>
          <w:highlight w:val="none"/>
        </w:rPr>
        <w:t>2</w:t>
      </w:r>
      <w:r>
        <w:rPr>
          <w:rFonts w:hint="eastAsia" w:ascii="仿宋_GB2312" w:hAnsi="仿宋_GB2312" w:eastAsia="仿宋_GB2312" w:cs="仿宋_GB2312"/>
          <w:color w:val="auto"/>
          <w:sz w:val="30"/>
          <w:szCs w:val="32"/>
          <w:highlight w:val="none"/>
        </w:rPr>
        <w:t>：</w:t>
      </w:r>
      <w:bookmarkEnd w:id="1175"/>
      <w:bookmarkEnd w:id="1176"/>
      <w:bookmarkEnd w:id="1177"/>
    </w:p>
    <w:p>
      <w:pPr>
        <w:autoSpaceDE w:val="0"/>
        <w:autoSpaceDN w:val="0"/>
        <w:adjustRightInd w:val="0"/>
        <w:snapToGrid w:val="0"/>
        <w:spacing w:line="360" w:lineRule="auto"/>
        <w:jc w:val="center"/>
        <w:outlineLvl w:val="1"/>
        <w:rPr>
          <w:rFonts w:ascii="黑体" w:hAnsi="黑体" w:eastAsia="黑体" w:cs="黑体"/>
          <w:color w:val="auto"/>
          <w:sz w:val="30"/>
          <w:szCs w:val="30"/>
          <w:highlight w:val="none"/>
        </w:rPr>
      </w:pPr>
      <w:bookmarkStart w:id="1178" w:name="_Toc5927"/>
      <w:bookmarkStart w:id="1179" w:name="_Toc32548"/>
      <w:bookmarkStart w:id="1180" w:name="_Toc1905339115"/>
      <w:bookmarkStart w:id="1181" w:name="_Toc24383"/>
      <w:bookmarkStart w:id="1182" w:name="_Toc21439"/>
      <w:bookmarkStart w:id="1183" w:name="_Toc1215922451"/>
      <w:r>
        <w:rPr>
          <w:rFonts w:hint="eastAsia" w:ascii="黑体" w:hAnsi="黑体" w:eastAsia="黑体" w:cs="黑体"/>
          <w:color w:val="auto"/>
          <w:sz w:val="30"/>
          <w:szCs w:val="30"/>
          <w:highlight w:val="none"/>
        </w:rPr>
        <w:t>现状树木一览表</w:t>
      </w:r>
      <w:bookmarkEnd w:id="1178"/>
      <w:bookmarkEnd w:id="1179"/>
      <w:bookmarkEnd w:id="1180"/>
      <w:bookmarkEnd w:id="1181"/>
      <w:bookmarkEnd w:id="1182"/>
      <w:bookmarkEnd w:id="1183"/>
    </w:p>
    <w:tbl>
      <w:tblPr>
        <w:tblStyle w:val="46"/>
        <w:tblpPr w:leftFromText="180" w:rightFromText="180" w:vertAnchor="text" w:horzAnchor="page" w:tblpX="1487" w:tblpY="20"/>
        <w:tblOverlap w:val="never"/>
        <w:tblW w:w="1405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342"/>
        <w:gridCol w:w="1609"/>
        <w:gridCol w:w="1059"/>
        <w:gridCol w:w="1220"/>
        <w:gridCol w:w="3603"/>
        <w:gridCol w:w="1991"/>
        <w:gridCol w:w="2198"/>
        <w:gridCol w:w="10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5" w:hRule="atLeast"/>
        </w:trPr>
        <w:tc>
          <w:tcPr>
            <w:tcW w:w="1342"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树木名称</w:t>
            </w:r>
          </w:p>
        </w:tc>
        <w:tc>
          <w:tcPr>
            <w:tcW w:w="1609"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规格</w:t>
            </w:r>
          </w:p>
        </w:tc>
        <w:tc>
          <w:tcPr>
            <w:tcW w:w="1059"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数量</w:t>
            </w:r>
          </w:p>
        </w:tc>
        <w:tc>
          <w:tcPr>
            <w:tcW w:w="1220"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单位</w:t>
            </w:r>
          </w:p>
        </w:tc>
        <w:tc>
          <w:tcPr>
            <w:tcW w:w="3603"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生长情况</w:t>
            </w:r>
          </w:p>
        </w:tc>
        <w:tc>
          <w:tcPr>
            <w:tcW w:w="1991"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是否古树名木</w:t>
            </w:r>
          </w:p>
        </w:tc>
        <w:tc>
          <w:tcPr>
            <w:tcW w:w="2198"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处置情况</w:t>
            </w:r>
          </w:p>
        </w:tc>
        <w:tc>
          <w:tcPr>
            <w:tcW w:w="1036"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5"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2"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3" w:hRule="atLeast"/>
        </w:trPr>
        <w:tc>
          <w:tcPr>
            <w:tcW w:w="1342" w:type="dxa"/>
            <w:tcBorders>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609" w:type="dxa"/>
            <w:tcBorders>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59" w:type="dxa"/>
            <w:tcBorders>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20" w:type="dxa"/>
            <w:tcBorders>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3603" w:type="dxa"/>
            <w:tcBorders>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91" w:type="dxa"/>
            <w:tcBorders>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2198" w:type="dxa"/>
            <w:tcBorders>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036" w:type="dxa"/>
            <w:tcBorders>
              <w:bottom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bl>
    <w:p>
      <w:pPr>
        <w:outlineLvl w:val="9"/>
        <w:rPr>
          <w:rFonts w:ascii="仿宋_GB2312" w:hAnsi="仿宋_GB2312" w:eastAsia="仿宋_GB2312" w:cs="仿宋_GB2312"/>
          <w:color w:val="auto"/>
          <w:sz w:val="30"/>
          <w:szCs w:val="32"/>
          <w:highlight w:val="none"/>
        </w:rPr>
        <w:sectPr>
          <w:pgSz w:w="16838" w:h="11906" w:orient="landscape"/>
          <w:pgMar w:top="1757" w:right="1531" w:bottom="1757" w:left="1531" w:header="851" w:footer="992" w:gutter="0"/>
          <w:pgNumType w:fmt="numberInDash"/>
          <w:cols w:space="720" w:num="1"/>
          <w:docGrid w:type="lines" w:linePitch="312" w:charSpace="0"/>
        </w:sectPr>
      </w:pPr>
    </w:p>
    <w:p>
      <w:pPr>
        <w:spacing w:line="360" w:lineRule="auto"/>
        <w:outlineLvl w:val="1"/>
        <w:rPr>
          <w:rFonts w:ascii="仿宋_GB2312" w:hAnsi="仿宋_GB2312" w:eastAsia="仿宋_GB2312" w:cs="仿宋_GB2312"/>
          <w:color w:val="auto"/>
          <w:sz w:val="30"/>
          <w:szCs w:val="30"/>
          <w:highlight w:val="none"/>
        </w:rPr>
      </w:pPr>
      <w:bookmarkStart w:id="1184" w:name="_Toc1616868245"/>
      <w:bookmarkStart w:id="1185" w:name="_Toc935379669"/>
      <w:bookmarkStart w:id="1186" w:name="_Toc41530498"/>
      <w:r>
        <w:rPr>
          <w:rFonts w:hint="eastAsia" w:ascii="仿宋_GB2312" w:hAnsi="仿宋_GB2312" w:eastAsia="仿宋_GB2312" w:cs="仿宋_GB2312"/>
          <w:color w:val="auto"/>
          <w:sz w:val="30"/>
          <w:szCs w:val="30"/>
          <w:highlight w:val="none"/>
        </w:rPr>
        <w:t>附件</w:t>
      </w:r>
      <w:r>
        <w:rPr>
          <w:rFonts w:ascii="仿宋_GB2312" w:hAnsi="仿宋_GB2312" w:eastAsia="仿宋_GB2312" w:cs="仿宋_GB2312"/>
          <w:color w:val="auto"/>
          <w:sz w:val="30"/>
          <w:szCs w:val="30"/>
          <w:highlight w:val="none"/>
        </w:rPr>
        <w:t>3</w:t>
      </w:r>
      <w:r>
        <w:rPr>
          <w:rFonts w:hint="eastAsia" w:ascii="仿宋_GB2312" w:hAnsi="仿宋_GB2312" w:eastAsia="仿宋_GB2312" w:cs="仿宋_GB2312"/>
          <w:color w:val="auto"/>
          <w:sz w:val="30"/>
          <w:szCs w:val="30"/>
          <w:highlight w:val="none"/>
        </w:rPr>
        <w:t>：</w:t>
      </w:r>
      <w:bookmarkEnd w:id="1184"/>
      <w:bookmarkEnd w:id="1185"/>
      <w:bookmarkEnd w:id="1186"/>
    </w:p>
    <w:p>
      <w:pPr>
        <w:spacing w:line="360" w:lineRule="auto"/>
        <w:jc w:val="center"/>
        <w:outlineLvl w:val="1"/>
        <w:rPr>
          <w:rFonts w:ascii="黑体" w:hAnsi="黑体" w:eastAsia="黑体" w:cs="黑体"/>
          <w:color w:val="auto"/>
          <w:sz w:val="30"/>
          <w:szCs w:val="30"/>
          <w:highlight w:val="none"/>
        </w:rPr>
      </w:pPr>
      <w:bookmarkStart w:id="1187" w:name="_Toc1160"/>
      <w:bookmarkStart w:id="1188" w:name="_Toc23614"/>
      <w:bookmarkStart w:id="1189" w:name="_Toc30400"/>
      <w:bookmarkStart w:id="1190" w:name="_Toc1635"/>
      <w:bookmarkStart w:id="1191" w:name="_Toc608362669"/>
      <w:bookmarkStart w:id="1192" w:name="_Toc9180"/>
      <w:bookmarkStart w:id="1193" w:name="_Toc698560855"/>
      <w:r>
        <w:rPr>
          <w:rFonts w:hint="eastAsia" w:ascii="黑体" w:hAnsi="黑体" w:eastAsia="黑体" w:cs="黑体"/>
          <w:color w:val="auto"/>
          <w:sz w:val="30"/>
          <w:szCs w:val="30"/>
          <w:highlight w:val="none"/>
        </w:rPr>
        <w:t>暂估价一览表</w:t>
      </w:r>
      <w:bookmarkEnd w:id="1187"/>
      <w:bookmarkEnd w:id="1188"/>
      <w:bookmarkEnd w:id="1189"/>
      <w:bookmarkEnd w:id="1190"/>
      <w:bookmarkEnd w:id="1191"/>
      <w:bookmarkEnd w:id="1192"/>
      <w:bookmarkEnd w:id="1193"/>
    </w:p>
    <w:tbl>
      <w:tblPr>
        <w:tblStyle w:val="46"/>
        <w:tblW w:w="844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98"/>
        <w:gridCol w:w="1974"/>
        <w:gridCol w:w="792"/>
        <w:gridCol w:w="721"/>
        <w:gridCol w:w="1259"/>
        <w:gridCol w:w="1320"/>
        <w:gridCol w:w="15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0" w:hRule="atLeast"/>
          <w:jc w:val="center"/>
        </w:trPr>
        <w:tc>
          <w:tcPr>
            <w:tcW w:w="798"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序号</w:t>
            </w:r>
          </w:p>
        </w:tc>
        <w:tc>
          <w:tcPr>
            <w:tcW w:w="1974"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名称</w:t>
            </w:r>
          </w:p>
        </w:tc>
        <w:tc>
          <w:tcPr>
            <w:tcW w:w="792"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单位</w:t>
            </w:r>
          </w:p>
        </w:tc>
        <w:tc>
          <w:tcPr>
            <w:tcW w:w="721" w:type="dxa"/>
            <w:tcBorders>
              <w:top w:val="single" w:color="auto" w:sz="12" w:space="0"/>
            </w:tcBorders>
            <w:noWrap w:val="0"/>
            <w:vAlign w:val="center"/>
          </w:tcPr>
          <w:p>
            <w:pPr>
              <w:pStyle w:val="20"/>
              <w:keepNext/>
              <w:spacing w:after="0" w:line="240" w:lineRule="auto"/>
              <w:ind w:left="0" w:leftChars="0" w:right="0" w:rightChars="0"/>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数量</w:t>
            </w:r>
          </w:p>
        </w:tc>
        <w:tc>
          <w:tcPr>
            <w:tcW w:w="1259" w:type="dxa"/>
            <w:tcBorders>
              <w:top w:val="single" w:color="auto" w:sz="12" w:space="0"/>
            </w:tcBorders>
            <w:noWrap w:val="0"/>
            <w:vAlign w:val="center"/>
          </w:tcPr>
          <w:p>
            <w:pPr>
              <w:pStyle w:val="20"/>
              <w:keepNext/>
              <w:spacing w:after="0" w:line="240" w:lineRule="auto"/>
              <w:ind w:left="0" w:leftChars="0" w:right="0" w:rightChars="0"/>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单价（元）</w:t>
            </w:r>
          </w:p>
        </w:tc>
        <w:tc>
          <w:tcPr>
            <w:tcW w:w="1320"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合价（元）</w:t>
            </w:r>
          </w:p>
        </w:tc>
        <w:tc>
          <w:tcPr>
            <w:tcW w:w="1584" w:type="dxa"/>
            <w:tcBorders>
              <w:top w:val="single" w:color="auto" w:sz="12" w:space="0"/>
            </w:tcBorders>
            <w:noWrap w:val="0"/>
            <w:vAlign w:val="center"/>
          </w:tcPr>
          <w:p>
            <w:pPr>
              <w:pStyle w:val="20"/>
              <w:keepNext/>
              <w:spacing w:after="0" w:line="440" w:lineRule="exact"/>
              <w:ind w:left="63"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98" w:type="dxa"/>
            <w:tcBorders>
              <w:bottom w:val="single" w:color="auto" w:sz="12" w:space="0"/>
            </w:tcBorders>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974" w:type="dxa"/>
            <w:tcBorders>
              <w:bottom w:val="single" w:color="auto" w:sz="12" w:space="0"/>
            </w:tcBorders>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92" w:type="dxa"/>
            <w:tcBorders>
              <w:bottom w:val="single" w:color="auto" w:sz="12" w:space="0"/>
            </w:tcBorders>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721" w:type="dxa"/>
            <w:tcBorders>
              <w:bottom w:val="single" w:color="auto" w:sz="12" w:space="0"/>
            </w:tcBorders>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259" w:type="dxa"/>
            <w:tcBorders>
              <w:bottom w:val="single" w:color="auto" w:sz="12" w:space="0"/>
            </w:tcBorders>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320" w:type="dxa"/>
            <w:tcBorders>
              <w:bottom w:val="single" w:color="auto" w:sz="12" w:space="0"/>
            </w:tcBorders>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c>
          <w:tcPr>
            <w:tcW w:w="1584" w:type="dxa"/>
            <w:tcBorders>
              <w:bottom w:val="single" w:color="auto" w:sz="12" w:space="0"/>
            </w:tcBorders>
            <w:noWrap w:val="0"/>
            <w:vAlign w:val="top"/>
          </w:tcPr>
          <w:p>
            <w:pPr>
              <w:pStyle w:val="20"/>
              <w:keepNext/>
              <w:spacing w:after="0" w:line="440" w:lineRule="exact"/>
              <w:ind w:left="63" w:right="63"/>
              <w:rPr>
                <w:rFonts w:ascii="仿宋_GB2312" w:hAnsi="仿宋_GB2312" w:eastAsia="仿宋_GB2312" w:cs="仿宋_GB2312"/>
                <w:color w:val="auto"/>
                <w:kern w:val="2"/>
                <w:sz w:val="28"/>
                <w:szCs w:val="28"/>
                <w:highlight w:val="none"/>
              </w:rPr>
            </w:pPr>
          </w:p>
        </w:tc>
      </w:tr>
    </w:tbl>
    <w:p>
      <w:pPr>
        <w:spacing w:line="360" w:lineRule="auto"/>
        <w:rPr>
          <w:color w:val="auto"/>
          <w:highlight w:val="none"/>
        </w:rPr>
      </w:pPr>
    </w:p>
    <w:p>
      <w:pPr>
        <w:outlineLvl w:val="9"/>
        <w:rPr>
          <w:rFonts w:ascii="仿宋_GB2312" w:hAnsi="仿宋_GB2312" w:eastAsia="仿宋_GB2312" w:cs="仿宋_GB2312"/>
          <w:color w:val="auto"/>
          <w:sz w:val="30"/>
          <w:szCs w:val="32"/>
          <w:highlight w:val="none"/>
        </w:rPr>
        <w:sectPr>
          <w:pgSz w:w="11906" w:h="16838"/>
          <w:pgMar w:top="2098" w:right="1757" w:bottom="1984" w:left="1757" w:header="851" w:footer="1417" w:gutter="0"/>
          <w:pgNumType w:fmt="numberInDash"/>
          <w:cols w:space="720" w:num="1"/>
          <w:titlePg/>
          <w:docGrid w:type="lines" w:linePitch="312" w:charSpace="0"/>
        </w:sectPr>
      </w:pPr>
    </w:p>
    <w:p>
      <w:pPr>
        <w:outlineLvl w:val="1"/>
        <w:rPr>
          <w:rFonts w:ascii="仿宋_GB2312" w:hAnsi="仿宋_GB2312" w:eastAsia="仿宋_GB2312" w:cs="仿宋_GB2312"/>
          <w:color w:val="auto"/>
          <w:sz w:val="30"/>
          <w:szCs w:val="30"/>
          <w:highlight w:val="none"/>
        </w:rPr>
      </w:pPr>
      <w:bookmarkStart w:id="1194" w:name="_Toc245732170"/>
      <w:bookmarkStart w:id="1195" w:name="_Toc785335212"/>
      <w:bookmarkStart w:id="1196" w:name="_Toc1492274086"/>
      <w:r>
        <w:rPr>
          <w:rFonts w:hint="eastAsia" w:ascii="仿宋_GB2312" w:hAnsi="仿宋_GB2312" w:eastAsia="仿宋_GB2312" w:cs="仿宋_GB2312"/>
          <w:color w:val="auto"/>
          <w:sz w:val="30"/>
          <w:szCs w:val="30"/>
          <w:highlight w:val="none"/>
        </w:rPr>
        <w:t>附件</w:t>
      </w:r>
      <w:r>
        <w:rPr>
          <w:rFonts w:ascii="仿宋_GB2312" w:hAnsi="仿宋_GB2312" w:eastAsia="仿宋_GB2312" w:cs="仿宋_GB2312"/>
          <w:color w:val="auto"/>
          <w:sz w:val="30"/>
          <w:szCs w:val="30"/>
          <w:highlight w:val="none"/>
        </w:rPr>
        <w:t>4</w:t>
      </w:r>
      <w:r>
        <w:rPr>
          <w:rFonts w:hint="eastAsia" w:ascii="仿宋_GB2312" w:hAnsi="仿宋_GB2312" w:eastAsia="仿宋_GB2312" w:cs="仿宋_GB2312"/>
          <w:color w:val="auto"/>
          <w:sz w:val="30"/>
          <w:szCs w:val="30"/>
          <w:highlight w:val="none"/>
        </w:rPr>
        <w:t>：</w:t>
      </w:r>
      <w:bookmarkEnd w:id="1194"/>
      <w:bookmarkEnd w:id="1195"/>
      <w:bookmarkEnd w:id="1196"/>
    </w:p>
    <w:p>
      <w:pPr>
        <w:jc w:val="center"/>
        <w:outlineLvl w:val="1"/>
        <w:rPr>
          <w:rFonts w:ascii="黑体" w:hAnsi="黑体" w:eastAsia="黑体" w:cs="黑体"/>
          <w:color w:val="auto"/>
          <w:kern w:val="0"/>
          <w:sz w:val="30"/>
          <w:szCs w:val="30"/>
          <w:highlight w:val="none"/>
        </w:rPr>
      </w:pPr>
      <w:bookmarkStart w:id="1197" w:name="_Toc30933"/>
      <w:bookmarkStart w:id="1198" w:name="_Toc22735"/>
      <w:bookmarkStart w:id="1199" w:name="_Toc101"/>
      <w:bookmarkStart w:id="1200" w:name="_Toc23900"/>
      <w:bookmarkStart w:id="1201" w:name="_Toc15104"/>
      <w:bookmarkStart w:id="1202" w:name="_Toc887574828"/>
      <w:bookmarkStart w:id="1203" w:name="_Toc1935472469"/>
      <w:r>
        <w:rPr>
          <w:rFonts w:hint="eastAsia" w:ascii="黑体" w:hAnsi="黑体" w:eastAsia="黑体" w:cs="黑体"/>
          <w:bCs/>
          <w:color w:val="auto"/>
          <w:sz w:val="30"/>
          <w:szCs w:val="30"/>
          <w:highlight w:val="none"/>
        </w:rPr>
        <w:t>发包人供应材料设备一览表</w:t>
      </w:r>
      <w:bookmarkEnd w:id="1197"/>
      <w:bookmarkEnd w:id="1198"/>
      <w:bookmarkEnd w:id="1199"/>
      <w:bookmarkEnd w:id="1200"/>
      <w:bookmarkEnd w:id="1201"/>
      <w:bookmarkEnd w:id="1202"/>
      <w:bookmarkEnd w:id="1203"/>
    </w:p>
    <w:tbl>
      <w:tblPr>
        <w:tblStyle w:val="46"/>
        <w:tblW w:w="89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76"/>
        <w:gridCol w:w="1311"/>
        <w:gridCol w:w="1325"/>
        <w:gridCol w:w="879"/>
        <w:gridCol w:w="795"/>
        <w:gridCol w:w="975"/>
        <w:gridCol w:w="927"/>
        <w:gridCol w:w="695"/>
        <w:gridCol w:w="798"/>
        <w:gridCol w:w="5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676"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序号</w:t>
            </w:r>
          </w:p>
        </w:tc>
        <w:tc>
          <w:tcPr>
            <w:tcW w:w="1311"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材</w:t>
            </w:r>
            <w:r>
              <w:rPr>
                <w:rFonts w:ascii="仿宋_GB2312" w:hAnsi="仿宋_GB2312" w:eastAsia="仿宋_GB2312" w:cs="仿宋_GB2312"/>
                <w:color w:val="auto"/>
                <w:kern w:val="2"/>
                <w:sz w:val="28"/>
                <w:szCs w:val="28"/>
                <w:highlight w:val="none"/>
              </w:rPr>
              <w:t xml:space="preserve">  </w:t>
            </w:r>
            <w:r>
              <w:rPr>
                <w:rFonts w:hint="eastAsia" w:ascii="仿宋_GB2312" w:hAnsi="仿宋_GB2312" w:eastAsia="仿宋_GB2312" w:cs="仿宋_GB2312"/>
                <w:color w:val="auto"/>
                <w:kern w:val="2"/>
                <w:sz w:val="28"/>
                <w:szCs w:val="28"/>
                <w:highlight w:val="none"/>
              </w:rPr>
              <w:t>料、</w:t>
            </w:r>
          </w:p>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设备品种</w:t>
            </w:r>
          </w:p>
        </w:tc>
        <w:tc>
          <w:tcPr>
            <w:tcW w:w="1325"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规格型号</w:t>
            </w:r>
          </w:p>
        </w:tc>
        <w:tc>
          <w:tcPr>
            <w:tcW w:w="879"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单位</w:t>
            </w:r>
          </w:p>
        </w:tc>
        <w:tc>
          <w:tcPr>
            <w:tcW w:w="795"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数量</w:t>
            </w:r>
          </w:p>
        </w:tc>
        <w:tc>
          <w:tcPr>
            <w:tcW w:w="975" w:type="dxa"/>
            <w:tcBorders>
              <w:top w:val="single" w:color="auto" w:sz="12" w:space="0"/>
            </w:tcBorders>
            <w:noWrap w:val="0"/>
            <w:vAlign w:val="center"/>
          </w:tcPr>
          <w:p>
            <w:pPr>
              <w:pStyle w:val="20"/>
              <w:keepNext/>
              <w:snapToGrid w:val="0"/>
              <w:spacing w:after="0" w:line="240" w:lineRule="auto"/>
              <w:ind w:left="0" w:leftChars="0" w:right="0" w:rightChars="0"/>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单价（元）</w:t>
            </w:r>
          </w:p>
        </w:tc>
        <w:tc>
          <w:tcPr>
            <w:tcW w:w="927"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质量</w:t>
            </w:r>
          </w:p>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等级</w:t>
            </w:r>
          </w:p>
        </w:tc>
        <w:tc>
          <w:tcPr>
            <w:tcW w:w="695"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供应</w:t>
            </w:r>
          </w:p>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时间</w:t>
            </w:r>
          </w:p>
        </w:tc>
        <w:tc>
          <w:tcPr>
            <w:tcW w:w="798"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送达</w:t>
            </w:r>
          </w:p>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地点</w:t>
            </w:r>
          </w:p>
        </w:tc>
        <w:tc>
          <w:tcPr>
            <w:tcW w:w="519" w:type="dxa"/>
            <w:tcBorders>
              <w:top w:val="single" w:color="auto" w:sz="12" w:space="0"/>
            </w:tcBorders>
            <w:noWrap w:val="0"/>
            <w:vAlign w:val="center"/>
          </w:tcPr>
          <w:p>
            <w:pPr>
              <w:pStyle w:val="20"/>
              <w:keepNext/>
              <w:snapToGrid w:val="0"/>
              <w:spacing w:after="0" w:line="240" w:lineRule="auto"/>
              <w:ind w:left="0" w:leftChars="0" w:right="63"/>
              <w:jc w:val="right"/>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11"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7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7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6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8"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51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11"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7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7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6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8"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51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11"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7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7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6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8"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51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11"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7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7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6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8"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51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11"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7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7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6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8"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51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11"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7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7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6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8"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51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11"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3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7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7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69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798"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51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11"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32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79"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7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27"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69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798"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519"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bl>
    <w:p>
      <w:pPr>
        <w:spacing w:line="360" w:lineRule="auto"/>
        <w:rPr>
          <w:color w:val="auto"/>
          <w:highlight w:val="none"/>
        </w:rPr>
      </w:pPr>
    </w:p>
    <w:p>
      <w:pPr>
        <w:spacing w:line="360" w:lineRule="auto"/>
        <w:rPr>
          <w:color w:val="auto"/>
          <w:highlight w:val="none"/>
        </w:rPr>
      </w:pPr>
    </w:p>
    <w:p>
      <w:pPr>
        <w:outlineLvl w:val="9"/>
        <w:rPr>
          <w:rFonts w:ascii="仿宋_GB2312" w:hAnsi="仿宋_GB2312" w:eastAsia="仿宋_GB2312" w:cs="仿宋_GB2312"/>
          <w:color w:val="auto"/>
          <w:sz w:val="30"/>
          <w:szCs w:val="32"/>
          <w:highlight w:val="none"/>
        </w:rPr>
        <w:sectPr>
          <w:pgSz w:w="11906" w:h="16838"/>
          <w:pgMar w:top="2098" w:right="1531" w:bottom="1984" w:left="1531" w:header="851" w:footer="1417" w:gutter="0"/>
          <w:pgNumType w:fmt="numberInDash"/>
          <w:cols w:space="720" w:num="1"/>
          <w:titlePg/>
          <w:docGrid w:type="lines" w:linePitch="312" w:charSpace="0"/>
        </w:sectPr>
      </w:pPr>
    </w:p>
    <w:p>
      <w:pPr>
        <w:outlineLvl w:val="1"/>
        <w:rPr>
          <w:rFonts w:ascii="仿宋_GB2312" w:hAnsi="仿宋_GB2312" w:eastAsia="仿宋_GB2312" w:cs="仿宋_GB2312"/>
          <w:color w:val="auto"/>
          <w:sz w:val="30"/>
          <w:szCs w:val="30"/>
          <w:highlight w:val="none"/>
        </w:rPr>
      </w:pPr>
      <w:bookmarkStart w:id="1204" w:name="_Toc1053508749"/>
      <w:bookmarkStart w:id="1205" w:name="_Toc283425744"/>
      <w:bookmarkStart w:id="1206" w:name="_Toc121452988"/>
      <w:r>
        <w:rPr>
          <w:rFonts w:hint="eastAsia" w:ascii="仿宋_GB2312" w:hAnsi="仿宋_GB2312" w:eastAsia="仿宋_GB2312" w:cs="仿宋_GB2312"/>
          <w:color w:val="auto"/>
          <w:sz w:val="30"/>
          <w:szCs w:val="30"/>
          <w:highlight w:val="none"/>
        </w:rPr>
        <w:t>附件</w:t>
      </w:r>
      <w:r>
        <w:rPr>
          <w:rFonts w:ascii="仿宋_GB2312" w:hAnsi="仿宋_GB2312" w:eastAsia="仿宋_GB2312" w:cs="仿宋_GB2312"/>
          <w:color w:val="auto"/>
          <w:sz w:val="30"/>
          <w:szCs w:val="30"/>
          <w:highlight w:val="none"/>
        </w:rPr>
        <w:t>5</w:t>
      </w:r>
      <w:r>
        <w:rPr>
          <w:rFonts w:hint="eastAsia" w:ascii="仿宋_GB2312" w:hAnsi="仿宋_GB2312" w:eastAsia="仿宋_GB2312" w:cs="仿宋_GB2312"/>
          <w:color w:val="auto"/>
          <w:sz w:val="30"/>
          <w:szCs w:val="30"/>
          <w:highlight w:val="none"/>
        </w:rPr>
        <w:t>：</w:t>
      </w:r>
      <w:bookmarkEnd w:id="1204"/>
      <w:bookmarkEnd w:id="1205"/>
      <w:bookmarkEnd w:id="1206"/>
    </w:p>
    <w:p>
      <w:pPr>
        <w:jc w:val="center"/>
        <w:outlineLvl w:val="1"/>
        <w:rPr>
          <w:rFonts w:ascii="黑体" w:hAnsi="黑体" w:eastAsia="黑体" w:cs="黑体"/>
          <w:color w:val="auto"/>
          <w:kern w:val="0"/>
          <w:sz w:val="30"/>
          <w:szCs w:val="30"/>
          <w:highlight w:val="none"/>
        </w:rPr>
      </w:pPr>
      <w:bookmarkStart w:id="1207" w:name="_Toc936"/>
      <w:bookmarkStart w:id="1208" w:name="_Toc18017"/>
      <w:bookmarkStart w:id="1209" w:name="_Toc23379"/>
      <w:bookmarkStart w:id="1210" w:name="_Toc1788163381"/>
      <w:bookmarkStart w:id="1211" w:name="_Toc30591"/>
      <w:bookmarkStart w:id="1212" w:name="_Toc1909146247"/>
      <w:r>
        <w:rPr>
          <w:rFonts w:hint="eastAsia" w:ascii="黑体" w:hAnsi="黑体" w:eastAsia="黑体" w:cs="黑体"/>
          <w:bCs/>
          <w:color w:val="auto"/>
          <w:sz w:val="30"/>
          <w:szCs w:val="30"/>
          <w:highlight w:val="none"/>
        </w:rPr>
        <w:t>发包人供应苗木一览表</w:t>
      </w:r>
      <w:bookmarkEnd w:id="1207"/>
      <w:bookmarkEnd w:id="1208"/>
      <w:bookmarkEnd w:id="1209"/>
      <w:bookmarkEnd w:id="1210"/>
      <w:bookmarkEnd w:id="1211"/>
      <w:bookmarkEnd w:id="1212"/>
    </w:p>
    <w:tbl>
      <w:tblPr>
        <w:tblStyle w:val="46"/>
        <w:tblW w:w="844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27"/>
        <w:gridCol w:w="1283"/>
        <w:gridCol w:w="1425"/>
        <w:gridCol w:w="945"/>
        <w:gridCol w:w="855"/>
        <w:gridCol w:w="1049"/>
        <w:gridCol w:w="855"/>
        <w:gridCol w:w="935"/>
        <w:gridCol w:w="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序号</w:t>
            </w:r>
          </w:p>
        </w:tc>
        <w:tc>
          <w:tcPr>
            <w:tcW w:w="1283"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苗木材料名</w:t>
            </w:r>
            <w:r>
              <w:rPr>
                <w:rFonts w:ascii="仿宋_GB2312" w:hAnsi="仿宋_GB2312" w:eastAsia="仿宋_GB2312" w:cs="仿宋_GB2312"/>
                <w:color w:val="auto"/>
                <w:kern w:val="2"/>
                <w:sz w:val="28"/>
                <w:szCs w:val="28"/>
                <w:highlight w:val="none"/>
              </w:rPr>
              <w:t xml:space="preserve">    </w:t>
            </w:r>
            <w:r>
              <w:rPr>
                <w:rFonts w:hint="eastAsia" w:ascii="仿宋_GB2312" w:hAnsi="仿宋_GB2312" w:eastAsia="仿宋_GB2312" w:cs="仿宋_GB2312"/>
                <w:color w:val="auto"/>
                <w:kern w:val="2"/>
                <w:sz w:val="28"/>
                <w:szCs w:val="28"/>
                <w:highlight w:val="none"/>
              </w:rPr>
              <w:t>称</w:t>
            </w:r>
          </w:p>
        </w:tc>
        <w:tc>
          <w:tcPr>
            <w:tcW w:w="1425"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规格</w:t>
            </w:r>
          </w:p>
        </w:tc>
        <w:tc>
          <w:tcPr>
            <w:tcW w:w="945"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单位</w:t>
            </w:r>
          </w:p>
        </w:tc>
        <w:tc>
          <w:tcPr>
            <w:tcW w:w="855"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数量</w:t>
            </w:r>
          </w:p>
        </w:tc>
        <w:tc>
          <w:tcPr>
            <w:tcW w:w="1049"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单价（元）</w:t>
            </w:r>
          </w:p>
        </w:tc>
        <w:tc>
          <w:tcPr>
            <w:tcW w:w="855"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供</w:t>
            </w:r>
            <w:r>
              <w:rPr>
                <w:rFonts w:ascii="仿宋_GB2312" w:hAnsi="仿宋_GB2312" w:eastAsia="仿宋_GB2312" w:cs="仿宋_GB2312"/>
                <w:color w:val="auto"/>
                <w:kern w:val="2"/>
                <w:sz w:val="28"/>
                <w:szCs w:val="28"/>
                <w:highlight w:val="none"/>
              </w:rPr>
              <w:t xml:space="preserve"> </w:t>
            </w:r>
            <w:r>
              <w:rPr>
                <w:rFonts w:hint="eastAsia" w:ascii="仿宋_GB2312" w:hAnsi="仿宋_GB2312" w:eastAsia="仿宋_GB2312" w:cs="仿宋_GB2312"/>
                <w:color w:val="auto"/>
                <w:kern w:val="2"/>
                <w:sz w:val="28"/>
                <w:szCs w:val="28"/>
                <w:highlight w:val="none"/>
              </w:rPr>
              <w:t>应</w:t>
            </w:r>
          </w:p>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时</w:t>
            </w:r>
            <w:r>
              <w:rPr>
                <w:rFonts w:ascii="仿宋_GB2312" w:hAnsi="仿宋_GB2312" w:eastAsia="仿宋_GB2312" w:cs="仿宋_GB2312"/>
                <w:color w:val="auto"/>
                <w:kern w:val="2"/>
                <w:sz w:val="28"/>
                <w:szCs w:val="28"/>
                <w:highlight w:val="none"/>
              </w:rPr>
              <w:t xml:space="preserve"> </w:t>
            </w:r>
            <w:r>
              <w:rPr>
                <w:rFonts w:hint="eastAsia" w:ascii="仿宋_GB2312" w:hAnsi="仿宋_GB2312" w:eastAsia="仿宋_GB2312" w:cs="仿宋_GB2312"/>
                <w:color w:val="auto"/>
                <w:kern w:val="2"/>
                <w:sz w:val="28"/>
                <w:szCs w:val="28"/>
                <w:highlight w:val="none"/>
              </w:rPr>
              <w:t>间</w:t>
            </w:r>
          </w:p>
        </w:tc>
        <w:tc>
          <w:tcPr>
            <w:tcW w:w="935"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送</w:t>
            </w:r>
            <w:r>
              <w:rPr>
                <w:rFonts w:ascii="仿宋_GB2312" w:hAnsi="仿宋_GB2312" w:eastAsia="仿宋_GB2312" w:cs="仿宋_GB2312"/>
                <w:color w:val="auto"/>
                <w:kern w:val="2"/>
                <w:sz w:val="28"/>
                <w:szCs w:val="28"/>
                <w:highlight w:val="none"/>
              </w:rPr>
              <w:t xml:space="preserve"> </w:t>
            </w:r>
            <w:r>
              <w:rPr>
                <w:rFonts w:hint="eastAsia" w:ascii="仿宋_GB2312" w:hAnsi="仿宋_GB2312" w:eastAsia="仿宋_GB2312" w:cs="仿宋_GB2312"/>
                <w:color w:val="auto"/>
                <w:kern w:val="2"/>
                <w:sz w:val="28"/>
                <w:szCs w:val="28"/>
                <w:highlight w:val="none"/>
              </w:rPr>
              <w:t>达</w:t>
            </w:r>
          </w:p>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地</w:t>
            </w:r>
            <w:r>
              <w:rPr>
                <w:rFonts w:ascii="仿宋_GB2312" w:hAnsi="仿宋_GB2312" w:eastAsia="仿宋_GB2312" w:cs="仿宋_GB2312"/>
                <w:color w:val="auto"/>
                <w:kern w:val="2"/>
                <w:sz w:val="28"/>
                <w:szCs w:val="28"/>
                <w:highlight w:val="none"/>
              </w:rPr>
              <w:t xml:space="preserve"> </w:t>
            </w:r>
            <w:r>
              <w:rPr>
                <w:rFonts w:hint="eastAsia" w:ascii="仿宋_GB2312" w:hAnsi="仿宋_GB2312" w:eastAsia="仿宋_GB2312" w:cs="仿宋_GB2312"/>
                <w:color w:val="auto"/>
                <w:kern w:val="2"/>
                <w:sz w:val="28"/>
                <w:szCs w:val="28"/>
                <w:highlight w:val="none"/>
              </w:rPr>
              <w:t>点</w:t>
            </w:r>
          </w:p>
        </w:tc>
        <w:tc>
          <w:tcPr>
            <w:tcW w:w="474" w:type="dxa"/>
            <w:tcBorders>
              <w:top w:val="single" w:color="auto" w:sz="12" w:space="0"/>
            </w:tcBorders>
            <w:noWrap w:val="0"/>
            <w:vAlign w:val="center"/>
          </w:tcPr>
          <w:p>
            <w:pPr>
              <w:pStyle w:val="20"/>
              <w:keepNext/>
              <w:snapToGrid w:val="0"/>
              <w:spacing w:after="0" w:line="240" w:lineRule="auto"/>
              <w:ind w:left="0" w:leftChars="0" w:right="63"/>
              <w:rPr>
                <w:rFonts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283"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4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4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04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3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474"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283"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4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4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04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3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474"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283"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4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4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04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3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474"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283"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4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4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04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3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474"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283"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4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4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04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3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474"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283"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4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4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04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3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474"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283"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42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4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1049"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85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935"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c>
          <w:tcPr>
            <w:tcW w:w="474" w:type="dxa"/>
            <w:noWrap w:val="0"/>
            <w:vAlign w:val="center"/>
          </w:tcPr>
          <w:p>
            <w:pPr>
              <w:pStyle w:val="20"/>
              <w:keepNext/>
              <w:snapToGrid w:val="0"/>
              <w:spacing w:after="0" w:line="360" w:lineRule="auto"/>
              <w:ind w:left="63" w:right="63" w:firstLine="480"/>
              <w:rPr>
                <w:rFonts w:ascii="仿宋_GB2312" w:hAnsi="仿宋_GB2312" w:eastAsia="仿宋_GB2312" w:cs="仿宋_GB2312"/>
                <w:color w:val="auto"/>
                <w:kern w:val="2"/>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27"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283"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42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4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1049"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85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935"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c>
          <w:tcPr>
            <w:tcW w:w="474" w:type="dxa"/>
            <w:tcBorders>
              <w:bottom w:val="single" w:color="auto" w:sz="12" w:space="0"/>
            </w:tcBorders>
            <w:noWrap w:val="0"/>
            <w:vAlign w:val="center"/>
          </w:tcPr>
          <w:p>
            <w:pPr>
              <w:snapToGrid w:val="0"/>
              <w:spacing w:line="360" w:lineRule="auto"/>
              <w:ind w:firstLine="480"/>
              <w:jc w:val="center"/>
              <w:rPr>
                <w:rFonts w:ascii="仿宋_GB2312" w:hAnsi="仿宋_GB2312" w:eastAsia="仿宋_GB2312" w:cs="仿宋_GB2312"/>
                <w:color w:val="auto"/>
                <w:sz w:val="28"/>
                <w:szCs w:val="28"/>
                <w:highlight w:val="none"/>
              </w:rPr>
            </w:pPr>
          </w:p>
        </w:tc>
      </w:tr>
    </w:tbl>
    <w:p>
      <w:pPr>
        <w:spacing w:line="360" w:lineRule="auto"/>
        <w:rPr>
          <w:color w:val="auto"/>
          <w:highlight w:val="none"/>
        </w:rPr>
      </w:pPr>
    </w:p>
    <w:p>
      <w:pPr>
        <w:spacing w:line="360" w:lineRule="auto"/>
        <w:rPr>
          <w:color w:val="auto"/>
          <w:highlight w:val="none"/>
        </w:rPr>
      </w:pPr>
    </w:p>
    <w:p>
      <w:pPr>
        <w:spacing w:line="360" w:lineRule="auto"/>
        <w:outlineLvl w:val="1"/>
        <w:rPr>
          <w:rFonts w:ascii="仿宋_GB2312" w:hAnsi="仿宋_GB2312" w:eastAsia="仿宋_GB2312" w:cs="仿宋_GB2312"/>
          <w:color w:val="auto"/>
          <w:sz w:val="30"/>
          <w:szCs w:val="32"/>
          <w:highlight w:val="none"/>
        </w:rPr>
      </w:pPr>
      <w:bookmarkStart w:id="1213" w:name="_Toc1799881692"/>
      <w:bookmarkStart w:id="1214" w:name="_Toc2144979508"/>
      <w:bookmarkStart w:id="1215" w:name="_Toc1357349786"/>
      <w:r>
        <w:rPr>
          <w:rFonts w:hint="eastAsia" w:ascii="仿宋_GB2312" w:hAnsi="仿宋_GB2312" w:eastAsia="仿宋_GB2312" w:cs="仿宋_GB2312"/>
          <w:color w:val="auto"/>
          <w:sz w:val="30"/>
          <w:szCs w:val="32"/>
          <w:highlight w:val="none"/>
        </w:rPr>
        <w:br w:type="page"/>
      </w:r>
      <w:r>
        <w:rPr>
          <w:rFonts w:hint="eastAsia" w:ascii="仿宋_GB2312" w:hAnsi="仿宋_GB2312" w:eastAsia="仿宋_GB2312" w:cs="仿宋_GB2312"/>
          <w:color w:val="auto"/>
          <w:sz w:val="30"/>
          <w:szCs w:val="32"/>
          <w:highlight w:val="none"/>
        </w:rPr>
        <w:t>附件</w:t>
      </w:r>
      <w:r>
        <w:rPr>
          <w:rFonts w:ascii="仿宋_GB2312" w:hAnsi="仿宋_GB2312" w:eastAsia="仿宋_GB2312" w:cs="仿宋_GB2312"/>
          <w:color w:val="auto"/>
          <w:sz w:val="30"/>
          <w:szCs w:val="32"/>
          <w:highlight w:val="none"/>
        </w:rPr>
        <w:t>6:</w:t>
      </w:r>
      <w:bookmarkEnd w:id="1213"/>
      <w:bookmarkEnd w:id="1214"/>
      <w:bookmarkEnd w:id="1215"/>
    </w:p>
    <w:p>
      <w:pPr>
        <w:pStyle w:val="6"/>
        <w:spacing w:before="0" w:line="360" w:lineRule="auto"/>
        <w:jc w:val="center"/>
        <w:rPr>
          <w:rFonts w:hint="eastAsia" w:ascii="宋体" w:hAnsi="宋体" w:eastAsia="宋体" w:cs="宋体"/>
          <w:b w:val="0"/>
          <w:color w:val="auto"/>
          <w:sz w:val="30"/>
          <w:szCs w:val="30"/>
          <w:highlight w:val="none"/>
        </w:rPr>
      </w:pPr>
      <w:bookmarkStart w:id="1216" w:name="_Toc2133128467"/>
      <w:bookmarkStart w:id="1217" w:name="_Toc1792836188"/>
      <w:r>
        <w:rPr>
          <w:rFonts w:hint="eastAsia" w:ascii="宋体" w:hAnsi="宋体" w:eastAsia="宋体" w:cs="宋体"/>
          <w:b w:val="0"/>
          <w:color w:val="auto"/>
          <w:sz w:val="30"/>
          <w:szCs w:val="30"/>
          <w:highlight w:val="none"/>
        </w:rPr>
        <w:t>绿化养护责任书</w:t>
      </w:r>
      <w:bookmarkEnd w:id="1216"/>
      <w:bookmarkEnd w:id="1217"/>
    </w:p>
    <w:p>
      <w:pPr>
        <w:snapToGrid w:val="0"/>
        <w:spacing w:line="360" w:lineRule="auto"/>
        <w:ind w:firstLine="600"/>
        <w:jc w:val="distribut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发包人和承包人根据《园林绿化养护标准》（CJJ/T287）或</w:t>
      </w:r>
    </w:p>
    <w:p>
      <w:pPr>
        <w:snapToGrid w:val="0"/>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（地方标准）等相关规定，经协商一致就</w:t>
      </w:r>
      <w:r>
        <w:rPr>
          <w:rFonts w:hint="eastAsia" w:ascii="宋体" w:hAnsi="宋体" w:eastAsia="宋体" w:cs="宋体"/>
          <w:color w:val="auto"/>
          <w:sz w:val="24"/>
          <w:szCs w:val="24"/>
          <w:highlight w:val="none"/>
          <w:u w:val="single"/>
        </w:rPr>
        <w:t xml:space="preserve">          </w:t>
      </w:r>
    </w:p>
    <w:p>
      <w:pPr>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（工程全称）签订绿化养护责任书。</w:t>
      </w:r>
    </w:p>
    <w:p>
      <w:pPr>
        <w:snapToGrid w:val="0"/>
        <w:spacing w:line="360" w:lineRule="auto"/>
        <w:ind w:firstLine="6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一、责任范围和内容</w:t>
      </w:r>
    </w:p>
    <w:p>
      <w:pPr>
        <w:snapToGrid w:val="0"/>
        <w:spacing w:line="360" w:lineRule="auto"/>
        <w:ind w:firstLine="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承包人在绿化养护期内，按照有关法律规定和合同约定，承担施工范围内的绿化养护责任。</w:t>
      </w:r>
    </w:p>
    <w:p>
      <w:pPr>
        <w:snapToGrid w:val="0"/>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内容包括对养护范围内植物采取的整形修剪、松土除草、灌溉与排水、施肥、有害生物防治、改植与补植、绿地防护（如防台风、防寒）等技术措施；</w:t>
      </w:r>
      <w:r>
        <w:rPr>
          <w:rFonts w:hint="eastAsia" w:ascii="宋体" w:hAnsi="宋体" w:eastAsia="宋体" w:cs="宋体"/>
          <w:bCs/>
          <w:color w:val="auto"/>
          <w:sz w:val="24"/>
          <w:szCs w:val="24"/>
          <w:highlight w:val="none"/>
        </w:rPr>
        <w:t>其他内容</w:t>
      </w:r>
      <w:r>
        <w:rPr>
          <w:rFonts w:hint="eastAsia" w:ascii="宋体" w:hAnsi="宋体" w:eastAsia="宋体" w:cs="宋体"/>
          <w:color w:val="auto"/>
          <w:sz w:val="24"/>
          <w:szCs w:val="24"/>
          <w:highlight w:val="none"/>
        </w:rPr>
        <w:t>双方约定如下：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napToGrid w:val="0"/>
        <w:spacing w:line="360" w:lineRule="auto"/>
        <w:ind w:firstLine="6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二、养护标准</w:t>
      </w:r>
    </w:p>
    <w:p>
      <w:pPr>
        <w:snapToGrid w:val="0"/>
        <w:spacing w:line="360" w:lineRule="auto"/>
        <w:ind w:firstLine="600"/>
        <w:jc w:val="distribut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绿化养护质量按照</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《园林绿化养护标准》（CJJ/T287）或</w:t>
      </w:r>
    </w:p>
    <w:p>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（地方标准）中</w:t>
      </w:r>
      <w:r>
        <w:rPr>
          <w:rFonts w:hint="eastAsia" w:ascii="宋体" w:hAnsi="宋体" w:cs="宋体"/>
          <w:color w:val="auto"/>
          <w:sz w:val="24"/>
          <w:szCs w:val="24"/>
          <w:highlight w:val="none"/>
          <w:u w:val="single"/>
          <w:lang w:eastAsia="zh-CN"/>
        </w:rPr>
        <w:t>二</w:t>
      </w:r>
      <w:r>
        <w:rPr>
          <w:rFonts w:hint="eastAsia" w:ascii="宋体" w:hAnsi="宋体" w:eastAsia="宋体" w:cs="宋体"/>
          <w:color w:val="auto"/>
          <w:sz w:val="24"/>
          <w:szCs w:val="24"/>
          <w:highlight w:val="none"/>
        </w:rPr>
        <w:t>级标准。</w:t>
      </w:r>
    </w:p>
    <w:p>
      <w:pPr>
        <w:snapToGrid w:val="0"/>
        <w:spacing w:line="360" w:lineRule="auto"/>
        <w:ind w:firstLine="6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三、考核标准</w:t>
      </w:r>
    </w:p>
    <w:p>
      <w:pPr>
        <w:snapToGrid w:val="0"/>
        <w:spacing w:line="360" w:lineRule="auto"/>
        <w:ind w:firstLine="453" w:firstLineChars="18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由发包人按（</w:t>
      </w:r>
      <w:r>
        <w:rPr>
          <w:rFonts w:hint="eastAsia" w:ascii="宋体" w:hAnsi="宋体" w:eastAsia="宋体" w:cs="宋体"/>
          <w:color w:val="auto"/>
          <w:sz w:val="24"/>
          <w:szCs w:val="24"/>
          <w:highlight w:val="none"/>
        </w:rPr>
        <w:sym w:font="Wingdings" w:char="00FE"/>
      </w:r>
      <w:r>
        <w:rPr>
          <w:rFonts w:hint="eastAsia" w:ascii="宋体" w:hAnsi="宋体" w:eastAsia="宋体" w:cs="宋体"/>
          <w:color w:val="auto"/>
          <w:sz w:val="24"/>
          <w:szCs w:val="24"/>
          <w:highlight w:val="none"/>
        </w:rPr>
        <w:t>国家标准</w:t>
      </w:r>
      <w:r>
        <w:rPr>
          <w:rFonts w:hint="eastAsia" w:ascii="宋体" w:hAnsi="宋体" w:eastAsia="宋体" w:cs="宋体"/>
          <w:color w:val="auto"/>
          <w:sz w:val="24"/>
          <w:szCs w:val="24"/>
          <w:highlight w:val="none"/>
        </w:rPr>
        <w:sym w:font="Wingdings" w:char="F0A8"/>
      </w:r>
      <w:r>
        <w:rPr>
          <w:rFonts w:hint="eastAsia" w:ascii="宋体" w:hAnsi="宋体" w:eastAsia="宋体" w:cs="宋体"/>
          <w:color w:val="auto"/>
          <w:sz w:val="24"/>
          <w:szCs w:val="24"/>
          <w:highlight w:val="none"/>
        </w:rPr>
        <w:t>行业标准</w:t>
      </w:r>
      <w:r>
        <w:rPr>
          <w:rFonts w:hint="eastAsia" w:ascii="宋体" w:hAnsi="宋体" w:eastAsia="宋体" w:cs="宋体"/>
          <w:color w:val="auto"/>
          <w:sz w:val="24"/>
          <w:szCs w:val="24"/>
          <w:highlight w:val="none"/>
        </w:rPr>
        <w:sym w:font="Wingdings" w:char="F0A8"/>
      </w:r>
      <w:r>
        <w:rPr>
          <w:rFonts w:hint="eastAsia" w:ascii="宋体" w:hAnsi="宋体" w:eastAsia="宋体" w:cs="宋体"/>
          <w:color w:val="auto"/>
          <w:sz w:val="24"/>
          <w:szCs w:val="24"/>
          <w:highlight w:val="none"/>
        </w:rPr>
        <w:t>地方标准）中</w:t>
      </w:r>
      <w:r>
        <w:rPr>
          <w:rFonts w:hint="eastAsia" w:ascii="宋体" w:hAnsi="宋体" w:cs="宋体"/>
          <w:color w:val="auto"/>
          <w:sz w:val="24"/>
          <w:szCs w:val="24"/>
          <w:highlight w:val="none"/>
          <w:u w:val="single"/>
          <w:lang w:eastAsia="zh-CN"/>
        </w:rPr>
        <w:t>二</w:t>
      </w:r>
      <w:r>
        <w:rPr>
          <w:rFonts w:hint="eastAsia" w:ascii="宋体" w:hAnsi="宋体" w:eastAsia="宋体" w:cs="宋体"/>
          <w:color w:val="auto"/>
          <w:sz w:val="24"/>
          <w:szCs w:val="24"/>
          <w:highlight w:val="none"/>
        </w:rPr>
        <w:t>级标准进行考核，相关费用从质量保证金中扣除。</w:t>
      </w:r>
    </w:p>
    <w:p>
      <w:pPr>
        <w:snapToGrid w:val="0"/>
        <w:spacing w:line="360" w:lineRule="auto"/>
        <w:ind w:firstLine="6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四、绿化养护期</w:t>
      </w:r>
    </w:p>
    <w:p>
      <w:pPr>
        <w:snapToGrid w:val="0"/>
        <w:spacing w:line="360" w:lineRule="auto"/>
        <w:ind w:firstLine="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绿化养护期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w:t>
      </w:r>
      <w:r>
        <w:rPr>
          <w:rFonts w:hint="eastAsia" w:ascii="宋体" w:hAnsi="宋体" w:eastAsia="宋体" w:cs="宋体"/>
          <w:color w:val="auto"/>
          <w:kern w:val="0"/>
          <w:sz w:val="24"/>
          <w:szCs w:val="24"/>
          <w:highlight w:val="none"/>
        </w:rPr>
        <w:t>从工程竣工验收合格之日起计算</w:t>
      </w:r>
      <w:r>
        <w:rPr>
          <w:rFonts w:hint="eastAsia" w:ascii="宋体" w:hAnsi="宋体" w:eastAsia="宋体" w:cs="宋体"/>
          <w:color w:val="auto"/>
          <w:sz w:val="24"/>
          <w:szCs w:val="24"/>
          <w:highlight w:val="none"/>
        </w:rPr>
        <w:t>。</w:t>
      </w:r>
    </w:p>
    <w:p>
      <w:pPr>
        <w:snapToGrid w:val="0"/>
        <w:spacing w:line="360" w:lineRule="auto"/>
        <w:ind w:firstLine="6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五、养护责任</w:t>
      </w:r>
    </w:p>
    <w:p>
      <w:pPr>
        <w:snapToGrid w:val="0"/>
        <w:spacing w:line="360" w:lineRule="auto"/>
        <w:ind w:left="105" w:leftChars="50" w:firstLine="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1．为确保养护质量，承包人应安排专业队伍和人员进行养护管理。</w:t>
      </w:r>
    </w:p>
    <w:p>
      <w:pPr>
        <w:snapToGrid w:val="0"/>
        <w:spacing w:line="360" w:lineRule="auto"/>
        <w:ind w:left="105" w:leftChars="50" w:firstLine="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在养护过程中应采取安全措施，避免造成对第三方人身和财产的损害。因承包人操作不当、管理不善而造成人身伤害或财产损失的，由承包人承担。发生紧急事故需处置的，承包人在接到事故通知后，应当立即到达事故现场处置。</w:t>
      </w:r>
    </w:p>
    <w:p>
      <w:pPr>
        <w:snapToGrid w:val="0"/>
        <w:spacing w:line="360" w:lineRule="auto"/>
        <w:ind w:left="105" w:leftChars="50" w:firstLine="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3．苗木成活率按合同约定执行，发生苗木等植物材料死亡，须按原设计品种和规格及时更换，更换费用由承包人承担。</w:t>
      </w:r>
    </w:p>
    <w:p>
      <w:pPr>
        <w:snapToGrid w:val="0"/>
        <w:spacing w:line="360" w:lineRule="auto"/>
        <w:ind w:left="105" w:leftChars="50" w:firstLine="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4．绿化养护期满后，由发包人组织验收。</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5．其他责任约定：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napToGrid w:val="0"/>
        <w:spacing w:line="360" w:lineRule="auto"/>
        <w:ind w:firstLine="6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六、养护费用</w:t>
      </w:r>
    </w:p>
    <w:p>
      <w:pPr>
        <w:snapToGrid w:val="0"/>
        <w:spacing w:line="360" w:lineRule="auto"/>
        <w:ind w:firstLine="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养护费用由承包人承担。</w:t>
      </w:r>
    </w:p>
    <w:p>
      <w:pPr>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    七、其他约定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napToGrid w:val="0"/>
        <w:spacing w:line="360" w:lineRule="auto"/>
        <w:ind w:left="105" w:leftChars="50" w:firstLine="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绿化养护责任书由发包人、承包人在工程竣工验收前共同签署，作为施工合同附件，其有效期限至绿化养护期满。</w:t>
      </w:r>
    </w:p>
    <w:p>
      <w:pPr>
        <w:rPr>
          <w:rFonts w:hint="eastAsia" w:ascii="宋体" w:hAnsi="宋体" w:eastAsia="宋体" w:cs="宋体"/>
          <w:color w:val="auto"/>
          <w:sz w:val="30"/>
          <w:szCs w:val="30"/>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5408" behindDoc="0" locked="0" layoutInCell="1" allowOverlap="1">
                <wp:simplePos x="0" y="0"/>
                <wp:positionH relativeFrom="column">
                  <wp:posOffset>2559050</wp:posOffset>
                </wp:positionH>
                <wp:positionV relativeFrom="paragraph">
                  <wp:posOffset>205740</wp:posOffset>
                </wp:positionV>
                <wp:extent cx="2865755" cy="3220085"/>
                <wp:effectExtent l="0" t="0" r="10795" b="18415"/>
                <wp:wrapNone/>
                <wp:docPr id="13" name="文本框 13"/>
                <wp:cNvGraphicFramePr/>
                <a:graphic xmlns:a="http://schemas.openxmlformats.org/drawingml/2006/main">
                  <a:graphicData uri="http://schemas.microsoft.com/office/word/2010/wordprocessingShape">
                    <wps:wsp>
                      <wps:cNvSpPr txBox="1"/>
                      <wps:spPr>
                        <a:xfrm>
                          <a:off x="0" y="0"/>
                          <a:ext cx="2865755" cy="2667635"/>
                        </a:xfrm>
                        <a:prstGeom prst="rect">
                          <a:avLst/>
                        </a:prstGeom>
                        <a:solidFill>
                          <a:srgbClr val="FFFFFF"/>
                        </a:solidFill>
                        <a:ln>
                          <a:noFill/>
                        </a:ln>
                        <a:effectLst/>
                      </wps:spPr>
                      <wps:txbx>
                        <w:txbxContent>
                          <w:p>
                            <w:pPr>
                              <w:ind w:firstLine="560"/>
                              <w:rPr>
                                <w:rFonts w:hint="eastAsia" w:ascii="仿宋_GB2312" w:hAnsi="仿宋" w:eastAsia="仿宋_GB2312" w:cs="仿宋"/>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承包人：（公章）</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xbxContent>
                      </wps:txbx>
                      <wps:bodyPr upright="1"/>
                    </wps:wsp>
                  </a:graphicData>
                </a:graphic>
              </wp:anchor>
            </w:drawing>
          </mc:Choice>
          <mc:Fallback>
            <w:pict>
              <v:shape id="_x0000_s1026" o:spid="_x0000_s1026" o:spt="202" type="#_x0000_t202" style="position:absolute;left:0pt;margin-left:201.5pt;margin-top:16.2pt;height:253.55pt;width:225.65pt;z-index:251665408;mso-width-relative:page;mso-height-relative:page;" fillcolor="#FFFFFF" filled="t" stroked="f" coordsize="21600,21600" o:gfxdata="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KidGsPZAAAACgEAAA8AAAAAAAAAAQAgAAAAIgAAAGRycy9k&#10;b3ducmV2LnhtbFBLAQIUABQAAAAIAIdO4kB5NIW0yAEAAIgDAAAOAAAAAAAAAAEAIAAAACgBAABk&#10;cnMvZTJvRG9jLnhtbFBLBQYAAAAABgAGAFkBAABiBQAAAAA=&#10;">
                <v:fill on="t" focussize="0,0"/>
                <v:stroke on="f"/>
                <v:imagedata o:title=""/>
                <o:lock v:ext="edit" aspectratio="f"/>
                <v:textbox>
                  <w:txbxContent>
                    <w:p>
                      <w:pPr>
                        <w:ind w:firstLine="560"/>
                        <w:rPr>
                          <w:rFonts w:hint="eastAsia" w:ascii="仿宋_GB2312" w:hAnsi="仿宋" w:eastAsia="仿宋_GB2312" w:cs="仿宋"/>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承包人：（公章）</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xbxContent>
                </v:textbox>
              </v:shape>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4384" behindDoc="0" locked="0" layoutInCell="1" allowOverlap="1">
                <wp:simplePos x="0" y="0"/>
                <wp:positionH relativeFrom="column">
                  <wp:posOffset>-287020</wp:posOffset>
                </wp:positionH>
                <wp:positionV relativeFrom="paragraph">
                  <wp:posOffset>201295</wp:posOffset>
                </wp:positionV>
                <wp:extent cx="2865755" cy="3410585"/>
                <wp:effectExtent l="0" t="0" r="10795" b="18415"/>
                <wp:wrapNone/>
                <wp:docPr id="8" name="文本框 8"/>
                <wp:cNvGraphicFramePr/>
                <a:graphic xmlns:a="http://schemas.openxmlformats.org/drawingml/2006/main">
                  <a:graphicData uri="http://schemas.microsoft.com/office/word/2010/wordprocessingShape">
                    <wps:wsp>
                      <wps:cNvSpPr txBox="1"/>
                      <wps:spPr>
                        <a:xfrm>
                          <a:off x="0" y="0"/>
                          <a:ext cx="2865755" cy="2677795"/>
                        </a:xfrm>
                        <a:prstGeom prst="rect">
                          <a:avLst/>
                        </a:prstGeom>
                        <a:solidFill>
                          <a:srgbClr val="FFFFFF"/>
                        </a:solidFill>
                        <a:ln>
                          <a:noFill/>
                        </a:ln>
                        <a:effectLst/>
                      </wps:spPr>
                      <wps:txbx>
                        <w:txbxContent>
                          <w:p>
                            <w:pPr>
                              <w:ind w:firstLine="560"/>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发包人：（公章）</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8"/>
                                <w:szCs w:val="28"/>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xbxContent>
                      </wps:txbx>
                      <wps:bodyPr upright="1"/>
                    </wps:wsp>
                  </a:graphicData>
                </a:graphic>
              </wp:anchor>
            </w:drawing>
          </mc:Choice>
          <mc:Fallback>
            <w:pict>
              <v:shape id="_x0000_s1026" o:spid="_x0000_s1026" o:spt="202" type="#_x0000_t202" style="position:absolute;left:0pt;margin-left:-22.6pt;margin-top:15.85pt;height:268.55pt;width:225.65pt;z-index:251664384;mso-width-relative:page;mso-height-relative:page;" fillcolor="#FFFFFF" filled="t" stroked="f" coordsize="21600,21600" o:gfxdata="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9I2QQ2AAAAAoBAAAPAAAAAAAAAAEAIAAAACIAAABkcnMvZG93&#10;bnJldi54bWxQSwECFAAUAAAACACHTuJApC5qQccBAACGAwAADgAAAAAAAAABACAAAAAnAQAAZHJz&#10;L2Uyb0RvYy54bWxQSwUGAAAAAAYABgBZAQAAYAUAAAAA&#10;">
                <v:fill on="t" focussize="0,0"/>
                <v:stroke on="f"/>
                <v:imagedata o:title=""/>
                <o:lock v:ext="edit" aspectratio="f"/>
                <v:textbox>
                  <w:txbxContent>
                    <w:p>
                      <w:pPr>
                        <w:ind w:firstLine="560"/>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发包人：（公章）</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8"/>
                          <w:szCs w:val="28"/>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xbxContent>
                </v:textbox>
              </v:shape>
            </w:pict>
          </mc:Fallback>
        </mc:AlternateContent>
      </w:r>
    </w:p>
    <w:p>
      <w:pPr>
        <w:rPr>
          <w:rFonts w:hint="eastAsia" w:ascii="宋体" w:hAnsi="宋体" w:eastAsia="宋体" w:cs="宋体"/>
          <w:color w:val="auto"/>
          <w:sz w:val="30"/>
          <w:szCs w:val="30"/>
          <w:highlight w:val="none"/>
        </w:rPr>
      </w:pPr>
    </w:p>
    <w:p>
      <w:pPr>
        <w:rPr>
          <w:rFonts w:hint="eastAsia" w:ascii="宋体" w:hAnsi="宋体" w:eastAsia="宋体" w:cs="宋体"/>
          <w:color w:val="auto"/>
          <w:sz w:val="30"/>
          <w:szCs w:val="30"/>
          <w:highlight w:val="none"/>
        </w:rPr>
      </w:pPr>
    </w:p>
    <w:p>
      <w:pPr>
        <w:rPr>
          <w:rFonts w:hint="eastAsia" w:ascii="宋体" w:hAnsi="宋体" w:eastAsia="宋体" w:cs="宋体"/>
          <w:color w:val="auto"/>
          <w:sz w:val="30"/>
          <w:szCs w:val="30"/>
          <w:highlight w:val="none"/>
        </w:rPr>
      </w:pPr>
    </w:p>
    <w:p>
      <w:pPr>
        <w:rPr>
          <w:rFonts w:hint="eastAsia" w:ascii="宋体" w:hAnsi="宋体" w:eastAsia="宋体" w:cs="宋体"/>
          <w:color w:val="auto"/>
          <w:sz w:val="30"/>
          <w:szCs w:val="30"/>
          <w:highlight w:val="none"/>
        </w:rPr>
      </w:pPr>
    </w:p>
    <w:p>
      <w:pPr>
        <w:rPr>
          <w:rFonts w:hint="eastAsia" w:ascii="宋体" w:hAnsi="宋体" w:eastAsia="宋体" w:cs="宋体"/>
          <w:color w:val="auto"/>
          <w:sz w:val="30"/>
          <w:szCs w:val="30"/>
          <w:highlight w:val="none"/>
        </w:rPr>
      </w:pPr>
    </w:p>
    <w:p>
      <w:pPr>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补充条款</w:t>
      </w:r>
    </w:p>
    <w:p>
      <w:pPr>
        <w:ind w:firstLine="560"/>
        <w:rPr>
          <w:rFonts w:hint="eastAsia" w:ascii="仿宋_GB2312" w:hAnsi="仿宋" w:eastAsia="仿宋_GB2312" w:cs="仿宋"/>
          <w:color w:val="auto"/>
          <w:sz w:val="28"/>
          <w:szCs w:val="28"/>
          <w:lang w:eastAsia="zh-CN"/>
        </w:rPr>
      </w:pPr>
    </w:p>
    <w:p>
      <w:pPr>
        <w:ind w:firstLine="560"/>
        <w:rPr>
          <w:rFonts w:hint="eastAsia" w:ascii="仿宋_GB2312" w:hAnsi="仿宋" w:eastAsia="仿宋_GB2312" w:cs="仿宋"/>
          <w:color w:val="auto"/>
          <w:sz w:val="28"/>
          <w:szCs w:val="28"/>
          <w:lang w:eastAsia="zh-CN"/>
        </w:rPr>
      </w:pPr>
    </w:p>
    <w:p>
      <w:pPr>
        <w:ind w:firstLine="560"/>
        <w:rPr>
          <w:rFonts w:hint="eastAsia" w:ascii="仿宋_GB2312" w:hAnsi="仿宋" w:eastAsia="仿宋_GB2312" w:cs="仿宋"/>
          <w:color w:val="auto"/>
          <w:sz w:val="28"/>
          <w:szCs w:val="28"/>
          <w:lang w:eastAsia="zh-CN"/>
        </w:rPr>
      </w:pPr>
    </w:p>
    <w:p>
      <w:pPr>
        <w:ind w:firstLine="560"/>
        <w:rPr>
          <w:rFonts w:hint="eastAsia" w:ascii="仿宋_GB2312" w:hAnsi="仿宋" w:eastAsia="仿宋_GB2312" w:cs="仿宋"/>
          <w:color w:val="auto"/>
          <w:sz w:val="28"/>
          <w:szCs w:val="28"/>
          <w:lang w:eastAsia="zh-CN"/>
        </w:rPr>
      </w:pPr>
    </w:p>
    <w:p>
      <w:pPr>
        <w:pStyle w:val="2"/>
        <w:rPr>
          <w:rFonts w:hint="eastAsia"/>
          <w:color w:val="auto"/>
        </w:rPr>
      </w:pPr>
    </w:p>
    <w:p>
      <w:pPr>
        <w:keepNext w:val="0"/>
        <w:keepLines w:val="0"/>
        <w:pageBreakBefore/>
        <w:widowControl w:val="0"/>
        <w:kinsoku/>
        <w:wordWrap/>
        <w:overflowPunct/>
        <w:topLinePunct w:val="0"/>
        <w:autoSpaceDE/>
        <w:autoSpaceDN/>
        <w:bidi w:val="0"/>
        <w:adjustRightInd/>
        <w:snapToGrid/>
        <w:spacing w:line="360" w:lineRule="auto"/>
        <w:textAlignment w:val="auto"/>
        <w:outlineLvl w:val="1"/>
        <w:rPr>
          <w:rFonts w:ascii="仿宋_GB2312" w:hAnsi="仿宋_GB2312" w:eastAsia="仿宋_GB2312" w:cs="仿宋_GB2312"/>
          <w:color w:val="auto"/>
          <w:sz w:val="30"/>
          <w:szCs w:val="32"/>
          <w:highlight w:val="none"/>
        </w:rPr>
      </w:pPr>
      <w:bookmarkStart w:id="1218" w:name="_Toc732104650"/>
      <w:bookmarkStart w:id="1219" w:name="_Toc298211660"/>
      <w:bookmarkStart w:id="1220" w:name="_Toc1831685531"/>
      <w:r>
        <w:rPr>
          <w:rFonts w:hint="eastAsia" w:ascii="仿宋_GB2312" w:hAnsi="仿宋_GB2312" w:eastAsia="仿宋_GB2312" w:cs="仿宋_GB2312"/>
          <w:color w:val="auto"/>
          <w:sz w:val="30"/>
          <w:szCs w:val="32"/>
          <w:highlight w:val="none"/>
        </w:rPr>
        <w:t>附件</w:t>
      </w:r>
      <w:r>
        <w:rPr>
          <w:rFonts w:ascii="仿宋_GB2312" w:hAnsi="仿宋_GB2312" w:eastAsia="仿宋_GB2312" w:cs="仿宋_GB2312"/>
          <w:color w:val="auto"/>
          <w:sz w:val="30"/>
          <w:szCs w:val="32"/>
          <w:highlight w:val="none"/>
        </w:rPr>
        <w:t>7</w:t>
      </w:r>
      <w:r>
        <w:rPr>
          <w:rFonts w:hint="eastAsia" w:ascii="仿宋_GB2312" w:hAnsi="仿宋_GB2312" w:eastAsia="仿宋_GB2312" w:cs="仿宋_GB2312"/>
          <w:color w:val="auto"/>
          <w:sz w:val="30"/>
          <w:szCs w:val="32"/>
          <w:highlight w:val="none"/>
        </w:rPr>
        <w:t>：</w:t>
      </w:r>
      <w:bookmarkEnd w:id="1218"/>
      <w:bookmarkEnd w:id="1219"/>
      <w:bookmarkEnd w:id="1220"/>
    </w:p>
    <w:p>
      <w:pPr>
        <w:keepNext/>
        <w:keepLines/>
        <w:spacing w:line="560" w:lineRule="exact"/>
        <w:ind w:firstLine="2811" w:firstLineChars="1000"/>
        <w:jc w:val="both"/>
        <w:rPr>
          <w:rFonts w:ascii="宋体" w:hAnsi="宋体" w:cs="黑体"/>
          <w:b/>
          <w:color w:val="auto"/>
          <w:sz w:val="28"/>
          <w:szCs w:val="28"/>
        </w:rPr>
      </w:pPr>
      <w:r>
        <w:rPr>
          <w:rFonts w:ascii="宋体" w:hAnsi="宋体" w:cs="黑体"/>
          <w:b/>
          <w:color w:val="auto"/>
          <w:sz w:val="28"/>
          <w:szCs w:val="28"/>
        </w:rPr>
        <w:t>工程质量保修书</w:t>
      </w:r>
    </w:p>
    <w:p>
      <w:pPr>
        <w:spacing w:line="540" w:lineRule="exact"/>
        <w:ind w:firstLine="720" w:firstLineChars="300"/>
        <w:rPr>
          <w:rFonts w:ascii="宋体" w:hAnsi="宋体" w:cs="仿宋_GB2312"/>
          <w:color w:val="auto"/>
          <w:sz w:val="24"/>
          <w:szCs w:val="24"/>
        </w:rPr>
      </w:pPr>
      <w:r>
        <w:rPr>
          <w:rFonts w:ascii="宋体" w:hAnsi="宋体" w:cs="仿宋_GB2312"/>
          <w:color w:val="auto"/>
          <w:sz w:val="24"/>
          <w:szCs w:val="24"/>
        </w:rPr>
        <w:t>发包人和承包人根据《中华人民共和国建筑法》《建设工程质量管理条例》和《园林绿化工程施工及验收规范》（CJJ82）以及（地方标准），经协商一致就</w:t>
      </w:r>
      <w:r>
        <w:rPr>
          <w:rFonts w:hint="eastAsia" w:ascii="宋体" w:hAnsi="宋体" w:cs="仿宋_GB2312"/>
          <w:color w:val="auto"/>
          <w:sz w:val="24"/>
          <w:szCs w:val="24"/>
          <w:lang w:val="en-US" w:eastAsia="zh-CN"/>
        </w:rPr>
        <w:t xml:space="preserve"> </w:t>
      </w:r>
      <w:r>
        <w:rPr>
          <w:rFonts w:hint="eastAsia" w:ascii="宋体" w:hAnsi="宋体" w:cs="仿宋_GB2312"/>
          <w:color w:val="auto"/>
          <w:sz w:val="24"/>
          <w:szCs w:val="24"/>
          <w:u w:val="single"/>
          <w:lang w:val="en-US" w:eastAsia="zh-CN"/>
        </w:rPr>
        <w:t xml:space="preserve">               </w:t>
      </w:r>
      <w:r>
        <w:rPr>
          <w:rFonts w:ascii="宋体" w:hAnsi="宋体" w:cs="仿宋_GB2312"/>
          <w:color w:val="auto"/>
          <w:sz w:val="24"/>
          <w:szCs w:val="24"/>
        </w:rPr>
        <w:t>（工程名称）签订工程质量保修书。</w:t>
      </w:r>
    </w:p>
    <w:p>
      <w:pPr>
        <w:spacing w:line="540" w:lineRule="exact"/>
        <w:ind w:firstLine="600"/>
        <w:rPr>
          <w:rFonts w:ascii="宋体" w:hAnsi="宋体" w:cs="仿宋_GB2312"/>
          <w:b/>
          <w:color w:val="auto"/>
          <w:sz w:val="24"/>
          <w:szCs w:val="24"/>
        </w:rPr>
      </w:pPr>
      <w:r>
        <w:rPr>
          <w:rFonts w:ascii="宋体" w:hAnsi="宋体" w:cs="仿宋_GB2312"/>
          <w:b/>
          <w:color w:val="auto"/>
          <w:sz w:val="24"/>
          <w:szCs w:val="24"/>
        </w:rPr>
        <w:t>一、工程质量保修范围和内容</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承包人在质量保修期内，按照有关法律规定和合同约定，承担工程质量保修责任。</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质量保修范围包括地基基础工程、主体结构工程，屋面防水工程、有防水要求的卫生间、房间和外墙面的防渗漏，供热与供冷系统，电气管线、给排水管道、设备安装、装修工程，绿化工程、园林附属工程（园路与广场铺装、假山、叠石、置石、园林理水、园林设施安装），以及双方约定的其他项目。具体保修的内容，双方约定如下：。</w:t>
      </w:r>
    </w:p>
    <w:p>
      <w:pPr>
        <w:spacing w:line="540" w:lineRule="exact"/>
        <w:ind w:firstLine="600"/>
        <w:rPr>
          <w:rFonts w:ascii="宋体" w:hAnsi="宋体" w:cs="仿宋_GB2312"/>
          <w:b/>
          <w:color w:val="auto"/>
          <w:sz w:val="24"/>
          <w:szCs w:val="24"/>
        </w:rPr>
      </w:pPr>
      <w:r>
        <w:rPr>
          <w:rFonts w:ascii="宋体" w:hAnsi="宋体" w:cs="仿宋_GB2312"/>
          <w:b/>
          <w:color w:val="auto"/>
          <w:sz w:val="24"/>
          <w:szCs w:val="24"/>
        </w:rPr>
        <w:t>二、质量保修期</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工程的质量保修期如下：</w:t>
      </w:r>
    </w:p>
    <w:p>
      <w:pPr>
        <w:spacing w:line="540" w:lineRule="exact"/>
        <w:rPr>
          <w:rFonts w:ascii="宋体" w:hAnsi="宋体" w:cs="仿宋_GB2312"/>
          <w:color w:val="auto"/>
          <w:sz w:val="24"/>
          <w:szCs w:val="24"/>
        </w:rPr>
      </w:pPr>
      <w:r>
        <w:rPr>
          <w:rFonts w:ascii="宋体" w:hAnsi="宋体" w:cs="仿宋_GB2312"/>
          <w:color w:val="auto"/>
          <w:sz w:val="24"/>
          <w:szCs w:val="24"/>
        </w:rPr>
        <w:t xml:space="preserve">    1. 地基基础工程和主体结构工程为设计文件规定的工程合理使用年限；</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2. 屋面防水工程、有防水要求的卫生间、房间和外墙面的防渗为</w:t>
      </w:r>
      <w:r>
        <w:rPr>
          <w:rFonts w:hint="eastAsia" w:ascii="宋体" w:hAnsi="宋体" w:cs="仿宋_GB2312"/>
          <w:color w:val="auto"/>
          <w:sz w:val="24"/>
          <w:szCs w:val="24"/>
          <w:u w:val="single"/>
        </w:rPr>
        <w:t>5</w:t>
      </w:r>
      <w:r>
        <w:rPr>
          <w:rFonts w:ascii="宋体" w:hAnsi="宋体" w:cs="仿宋_GB2312"/>
          <w:color w:val="auto"/>
          <w:sz w:val="24"/>
          <w:szCs w:val="24"/>
        </w:rPr>
        <w:t>年；其他防水工程</w:t>
      </w:r>
      <w:r>
        <w:rPr>
          <w:rFonts w:hint="eastAsia" w:ascii="宋体" w:hAnsi="宋体" w:cs="仿宋_GB2312"/>
          <w:color w:val="auto"/>
          <w:sz w:val="24"/>
          <w:szCs w:val="24"/>
          <w:u w:val="single"/>
        </w:rPr>
        <w:t>5</w:t>
      </w:r>
      <w:r>
        <w:rPr>
          <w:rFonts w:ascii="宋体" w:hAnsi="宋体" w:cs="仿宋_GB2312"/>
          <w:color w:val="auto"/>
          <w:sz w:val="24"/>
          <w:szCs w:val="24"/>
        </w:rPr>
        <w:t>年。</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3. 装修工程为</w:t>
      </w:r>
      <w:r>
        <w:rPr>
          <w:rFonts w:hint="eastAsia" w:ascii="宋体" w:hAnsi="宋体" w:cs="仿宋_GB2312"/>
          <w:color w:val="auto"/>
          <w:sz w:val="24"/>
          <w:szCs w:val="24"/>
          <w:u w:val="single"/>
        </w:rPr>
        <w:t>2</w:t>
      </w:r>
      <w:r>
        <w:rPr>
          <w:rFonts w:ascii="宋体" w:hAnsi="宋体" w:cs="仿宋_GB2312"/>
          <w:color w:val="auto"/>
          <w:sz w:val="24"/>
          <w:szCs w:val="24"/>
        </w:rPr>
        <w:t>年；</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4. 电气管线、给排水管道、设备安装工程为</w:t>
      </w:r>
      <w:r>
        <w:rPr>
          <w:rFonts w:hint="eastAsia" w:ascii="宋体" w:hAnsi="宋体" w:cs="仿宋_GB2312"/>
          <w:color w:val="auto"/>
          <w:sz w:val="24"/>
          <w:szCs w:val="24"/>
          <w:u w:val="single"/>
        </w:rPr>
        <w:t>2</w:t>
      </w:r>
      <w:r>
        <w:rPr>
          <w:rFonts w:ascii="宋体" w:hAnsi="宋体" w:cs="仿宋_GB2312"/>
          <w:color w:val="auto"/>
          <w:sz w:val="24"/>
          <w:szCs w:val="24"/>
        </w:rPr>
        <w:t>年；</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5．供热与供冷系统为</w:t>
      </w:r>
      <w:r>
        <w:rPr>
          <w:rFonts w:hint="eastAsia" w:ascii="宋体" w:hAnsi="宋体" w:cs="仿宋_GB2312"/>
          <w:color w:val="auto"/>
          <w:sz w:val="24"/>
          <w:szCs w:val="24"/>
          <w:u w:val="single"/>
        </w:rPr>
        <w:t>2</w:t>
      </w:r>
      <w:r>
        <w:rPr>
          <w:rFonts w:ascii="宋体" w:hAnsi="宋体" w:cs="仿宋_GB2312"/>
          <w:color w:val="auto"/>
          <w:sz w:val="24"/>
          <w:szCs w:val="24"/>
        </w:rPr>
        <w:t>个采暖期、供冷期；</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6. 绿化工程为</w:t>
      </w:r>
      <w:r>
        <w:rPr>
          <w:rFonts w:hint="eastAsia" w:ascii="宋体" w:hAnsi="宋体" w:cs="仿宋_GB2312"/>
          <w:color w:val="auto"/>
          <w:sz w:val="24"/>
          <w:szCs w:val="24"/>
          <w:u w:val="single"/>
          <w:lang w:val="en-US" w:eastAsia="zh-CN"/>
        </w:rPr>
        <w:t>12</w:t>
      </w:r>
      <w:r>
        <w:rPr>
          <w:rFonts w:ascii="宋体" w:hAnsi="宋体" w:cs="仿宋_GB2312"/>
          <w:color w:val="auto"/>
          <w:sz w:val="24"/>
          <w:szCs w:val="24"/>
        </w:rPr>
        <w:t>个月；</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7. 园林附属工程为</w:t>
      </w:r>
      <w:r>
        <w:rPr>
          <w:rFonts w:hint="eastAsia" w:ascii="宋体" w:hAnsi="宋体" w:cs="仿宋_GB2312"/>
          <w:color w:val="auto"/>
          <w:sz w:val="24"/>
          <w:szCs w:val="24"/>
          <w:u w:val="single"/>
        </w:rPr>
        <w:t>24</w:t>
      </w:r>
      <w:r>
        <w:rPr>
          <w:rFonts w:ascii="宋体" w:hAnsi="宋体" w:cs="仿宋_GB2312"/>
          <w:color w:val="auto"/>
          <w:sz w:val="24"/>
          <w:szCs w:val="24"/>
        </w:rPr>
        <w:t>个月；</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8. 其他项目保修期限约定如下：。</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质量保修期自工程竣工验收合格之日起计算。</w:t>
      </w:r>
    </w:p>
    <w:p>
      <w:pPr>
        <w:numPr>
          <w:ilvl w:val="0"/>
          <w:numId w:val="0"/>
        </w:numPr>
        <w:spacing w:line="540" w:lineRule="exact"/>
        <w:ind w:firstLine="723" w:firstLineChars="300"/>
        <w:rPr>
          <w:rFonts w:ascii="宋体" w:hAnsi="宋体" w:cs="仿宋_GB2312"/>
          <w:b/>
          <w:color w:val="auto"/>
          <w:sz w:val="24"/>
          <w:szCs w:val="24"/>
        </w:rPr>
      </w:pPr>
      <w:r>
        <w:rPr>
          <w:rFonts w:hint="eastAsia" w:ascii="宋体" w:hAnsi="宋体" w:cs="仿宋_GB2312"/>
          <w:b/>
          <w:color w:val="auto"/>
          <w:sz w:val="24"/>
          <w:szCs w:val="24"/>
          <w:lang w:eastAsia="zh-CN"/>
        </w:rPr>
        <w:t>三、</w:t>
      </w:r>
      <w:r>
        <w:rPr>
          <w:rFonts w:ascii="宋体" w:hAnsi="宋体" w:cs="仿宋_GB2312"/>
          <w:b/>
          <w:color w:val="auto"/>
          <w:sz w:val="24"/>
          <w:szCs w:val="24"/>
        </w:rPr>
        <w:t>缺陷责任期</w:t>
      </w:r>
    </w:p>
    <w:p>
      <w:pPr>
        <w:spacing w:line="540" w:lineRule="exact"/>
        <w:ind w:firstLine="600"/>
        <w:rPr>
          <w:rFonts w:ascii="宋体" w:hAnsi="宋体" w:cs="仿宋_GB2312"/>
          <w:color w:val="auto"/>
          <w:sz w:val="24"/>
          <w:szCs w:val="24"/>
        </w:rPr>
      </w:pPr>
      <w:r>
        <w:rPr>
          <w:rFonts w:ascii="宋体" w:hAnsi="宋体" w:cs="仿宋_GB2312"/>
          <w:color w:val="auto"/>
          <w:sz w:val="24"/>
          <w:szCs w:val="24"/>
        </w:rPr>
        <w:t>工程缺陷责任期为</w:t>
      </w:r>
      <w:r>
        <w:rPr>
          <w:rFonts w:hint="eastAsia" w:ascii="宋体" w:hAnsi="宋体" w:cs="仿宋_GB2312"/>
          <w:color w:val="auto"/>
          <w:sz w:val="24"/>
          <w:szCs w:val="24"/>
          <w:u w:val="single"/>
        </w:rPr>
        <w:t>24</w:t>
      </w:r>
      <w:r>
        <w:rPr>
          <w:rFonts w:ascii="宋体" w:hAnsi="宋体" w:cs="仿宋_GB2312"/>
          <w:color w:val="auto"/>
          <w:sz w:val="24"/>
          <w:szCs w:val="24"/>
        </w:rPr>
        <w:t>个月，缺陷责任期自工程竣工验收合格之日起计算。单位工程先于全部工程进行验收，单位工程缺陷责任期自单位工程验收合格之日起算。</w:t>
      </w:r>
    </w:p>
    <w:p>
      <w:pPr>
        <w:spacing w:line="540" w:lineRule="exact"/>
        <w:ind w:firstLine="600"/>
        <w:rPr>
          <w:rFonts w:ascii="宋体" w:hAnsi="宋体" w:cs="Times New Roman"/>
          <w:color w:val="auto"/>
          <w:sz w:val="24"/>
          <w:szCs w:val="24"/>
        </w:rPr>
      </w:pPr>
      <w:r>
        <w:rPr>
          <w:rFonts w:ascii="宋体" w:hAnsi="宋体" w:cs="宋体"/>
          <w:color w:val="auto"/>
          <w:sz w:val="24"/>
          <w:szCs w:val="24"/>
        </w:rPr>
        <w:t>缺陷责任期终止后，发包人应退还剩余的质量保证金。</w:t>
      </w:r>
    </w:p>
    <w:p>
      <w:pPr>
        <w:numPr>
          <w:ilvl w:val="0"/>
          <w:numId w:val="0"/>
        </w:numPr>
        <w:spacing w:line="540" w:lineRule="exact"/>
        <w:ind w:firstLine="482" w:firstLineChars="200"/>
        <w:rPr>
          <w:rFonts w:ascii="宋体" w:hAnsi="宋体" w:cs="仿宋_GB2312"/>
          <w:b/>
          <w:color w:val="auto"/>
          <w:sz w:val="24"/>
          <w:szCs w:val="24"/>
        </w:rPr>
      </w:pPr>
      <w:r>
        <w:rPr>
          <w:rFonts w:hint="eastAsia" w:ascii="宋体" w:hAnsi="宋体" w:cs="仿宋_GB2312"/>
          <w:b/>
          <w:color w:val="auto"/>
          <w:sz w:val="24"/>
          <w:szCs w:val="24"/>
          <w:lang w:eastAsia="zh-CN"/>
        </w:rPr>
        <w:t>四、</w:t>
      </w:r>
      <w:r>
        <w:rPr>
          <w:rFonts w:ascii="宋体" w:hAnsi="宋体" w:cs="仿宋_GB2312"/>
          <w:b/>
          <w:color w:val="auto"/>
          <w:sz w:val="24"/>
          <w:szCs w:val="24"/>
        </w:rPr>
        <w:t>质量保修责任</w:t>
      </w:r>
    </w:p>
    <w:p>
      <w:pPr>
        <w:numPr>
          <w:ilvl w:val="0"/>
          <w:numId w:val="0"/>
        </w:numPr>
        <w:spacing w:line="540" w:lineRule="exact"/>
        <w:ind w:firstLine="480" w:firstLineChars="200"/>
        <w:rPr>
          <w:rFonts w:ascii="宋体" w:hAnsi="宋体" w:cs="仿宋_GB2312"/>
          <w:color w:val="auto"/>
          <w:sz w:val="24"/>
          <w:szCs w:val="24"/>
        </w:rPr>
      </w:pPr>
      <w:r>
        <w:rPr>
          <w:rFonts w:hint="eastAsia" w:ascii="宋体" w:hAnsi="宋体" w:cs="仿宋_GB2312"/>
          <w:color w:val="auto"/>
          <w:sz w:val="24"/>
          <w:szCs w:val="24"/>
          <w:lang w:val="en-US" w:eastAsia="zh-CN"/>
        </w:rPr>
        <w:t>1.</w:t>
      </w:r>
      <w:r>
        <w:rPr>
          <w:rFonts w:ascii="宋体" w:hAnsi="宋体" w:cs="仿宋_GB2312"/>
          <w:color w:val="auto"/>
          <w:sz w:val="24"/>
          <w:szCs w:val="24"/>
        </w:rPr>
        <w:t>属于保修范围、内容的项目，承包人应当在接到保修通知之日起7天内派人保修。承包人不在约定期限内派人保修的，发包人可以委托他人修理，费用由承包人承担，从质量保证金中扣除。</w:t>
      </w:r>
    </w:p>
    <w:p>
      <w:pPr>
        <w:numPr>
          <w:ilvl w:val="0"/>
          <w:numId w:val="0"/>
        </w:numPr>
        <w:spacing w:line="540" w:lineRule="exact"/>
        <w:ind w:firstLine="480" w:firstLineChars="200"/>
        <w:rPr>
          <w:rFonts w:ascii="宋体" w:hAnsi="宋体" w:cs="仿宋_GB2312"/>
          <w:color w:val="auto"/>
          <w:sz w:val="24"/>
          <w:szCs w:val="24"/>
        </w:rPr>
      </w:pPr>
      <w:r>
        <w:rPr>
          <w:rFonts w:hint="eastAsia" w:ascii="宋体" w:hAnsi="宋体" w:cs="仿宋_GB2312"/>
          <w:color w:val="auto"/>
          <w:sz w:val="24"/>
          <w:szCs w:val="24"/>
          <w:lang w:val="en-US" w:eastAsia="zh-CN"/>
        </w:rPr>
        <w:t>2.</w:t>
      </w:r>
      <w:r>
        <w:rPr>
          <w:rFonts w:ascii="宋体" w:hAnsi="宋体" w:cs="仿宋_GB2312"/>
          <w:color w:val="auto"/>
          <w:sz w:val="24"/>
          <w:szCs w:val="24"/>
        </w:rPr>
        <w:t>发生紧急事故需抢修的，承包人在接到事故通知后，应当立即到达事故现场抢修。</w:t>
      </w:r>
    </w:p>
    <w:p>
      <w:pPr>
        <w:numPr>
          <w:ilvl w:val="0"/>
          <w:numId w:val="0"/>
        </w:numPr>
        <w:spacing w:line="540" w:lineRule="exact"/>
        <w:ind w:firstLine="480" w:firstLineChars="200"/>
        <w:rPr>
          <w:rFonts w:ascii="宋体" w:hAnsi="宋体" w:cs="仿宋_GB2312"/>
          <w:color w:val="auto"/>
          <w:sz w:val="24"/>
          <w:szCs w:val="24"/>
        </w:rPr>
      </w:pPr>
      <w:r>
        <w:rPr>
          <w:rFonts w:hint="eastAsia" w:ascii="宋体" w:hAnsi="宋体" w:cs="仿宋_GB2312"/>
          <w:color w:val="auto"/>
          <w:sz w:val="24"/>
          <w:szCs w:val="24"/>
          <w:lang w:val="en-US" w:eastAsia="zh-CN"/>
        </w:rPr>
        <w:t>3.</w:t>
      </w:r>
      <w:r>
        <w:rPr>
          <w:rFonts w:ascii="宋体" w:hAnsi="宋体" w:cs="仿宋_GB2312"/>
          <w:color w:val="auto"/>
          <w:sz w:val="24"/>
          <w:szCs w:val="24"/>
        </w:rPr>
        <w:t>对于涉及结构安全的质量问题，应当按照《建设工程质量管理条例》的规定，立即向当地住房和城乡建设行政主管部门及有关部门报告，采取安全防范措施，并由原设计人或者具有相应资质等级的设计人提出保修方案，承包人实施保修。</w:t>
      </w:r>
    </w:p>
    <w:p>
      <w:pPr>
        <w:numPr>
          <w:ilvl w:val="0"/>
          <w:numId w:val="0"/>
        </w:numPr>
        <w:spacing w:line="540" w:lineRule="exact"/>
        <w:ind w:firstLine="480" w:firstLineChars="200"/>
        <w:rPr>
          <w:rFonts w:ascii="宋体" w:hAnsi="宋体" w:cs="仿宋_GB2312"/>
          <w:color w:val="auto"/>
          <w:sz w:val="24"/>
          <w:szCs w:val="24"/>
        </w:rPr>
      </w:pPr>
      <w:r>
        <w:rPr>
          <w:rFonts w:hint="eastAsia" w:ascii="宋体" w:hAnsi="宋体" w:cs="仿宋_GB2312"/>
          <w:color w:val="auto"/>
          <w:sz w:val="24"/>
          <w:szCs w:val="24"/>
          <w:lang w:val="en-US" w:eastAsia="zh-CN"/>
        </w:rPr>
        <w:t>4.</w:t>
      </w:r>
      <w:r>
        <w:rPr>
          <w:rFonts w:ascii="宋体" w:hAnsi="宋体" w:cs="仿宋_GB2312"/>
          <w:color w:val="auto"/>
          <w:sz w:val="24"/>
          <w:szCs w:val="24"/>
        </w:rPr>
        <w:t>在工程质量保修期内，未能在合理期限对工程质量问题进行修复，或拒绝按要求进行修复的，承包人应向发包人支付修复工程支出的实际金额。</w:t>
      </w:r>
    </w:p>
    <w:p>
      <w:pPr>
        <w:numPr>
          <w:ilvl w:val="0"/>
          <w:numId w:val="0"/>
        </w:numPr>
        <w:spacing w:line="540" w:lineRule="exact"/>
        <w:ind w:firstLine="480" w:firstLineChars="200"/>
        <w:rPr>
          <w:rFonts w:ascii="宋体" w:hAnsi="宋体" w:cs="仿宋_GB2312"/>
          <w:color w:val="auto"/>
          <w:sz w:val="24"/>
          <w:szCs w:val="24"/>
        </w:rPr>
      </w:pPr>
      <w:r>
        <w:rPr>
          <w:rFonts w:hint="eastAsia" w:ascii="宋体" w:hAnsi="宋体" w:cs="仿宋_GB2312"/>
          <w:color w:val="auto"/>
          <w:sz w:val="24"/>
          <w:szCs w:val="24"/>
          <w:lang w:val="en-US" w:eastAsia="zh-CN"/>
        </w:rPr>
        <w:t>5.</w:t>
      </w:r>
      <w:r>
        <w:rPr>
          <w:rFonts w:ascii="宋体" w:hAnsi="宋体" w:cs="仿宋_GB2312"/>
          <w:color w:val="auto"/>
          <w:sz w:val="24"/>
          <w:szCs w:val="24"/>
        </w:rPr>
        <w:t>质量保修完成后，由发包人组织验收。</w:t>
      </w:r>
    </w:p>
    <w:p>
      <w:pPr>
        <w:spacing w:line="540" w:lineRule="exact"/>
        <w:ind w:firstLine="482" w:firstLineChars="200"/>
        <w:rPr>
          <w:rFonts w:ascii="宋体" w:hAnsi="宋体" w:cs="仿宋_GB2312"/>
          <w:color w:val="auto"/>
          <w:sz w:val="24"/>
          <w:szCs w:val="24"/>
          <w:u w:val="single"/>
        </w:rPr>
      </w:pPr>
      <w:r>
        <w:rPr>
          <w:rFonts w:ascii="宋体" w:hAnsi="宋体" w:cs="仿宋_GB2312"/>
          <w:b/>
          <w:color w:val="auto"/>
          <w:sz w:val="24"/>
          <w:szCs w:val="24"/>
        </w:rPr>
        <w:t>五、双方约定的其他工程质量保修项</w:t>
      </w:r>
      <w:r>
        <w:rPr>
          <w:rFonts w:ascii="宋体" w:hAnsi="宋体" w:cs="仿宋_GB2312"/>
          <w:color w:val="auto"/>
          <w:sz w:val="24"/>
          <w:szCs w:val="24"/>
        </w:rPr>
        <w:t>：。</w:t>
      </w:r>
    </w:p>
    <w:p>
      <w:pPr>
        <w:snapToGrid w:val="0"/>
        <w:spacing w:line="360" w:lineRule="auto"/>
        <w:ind w:firstLine="420" w:firstLineChars="200"/>
        <w:rPr>
          <w:rFonts w:hint="eastAsia" w:ascii="宋体" w:hAnsi="宋体" w:eastAsia="宋体" w:cs="宋体"/>
          <w:color w:val="auto"/>
          <w:sz w:val="24"/>
          <w:szCs w:val="24"/>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2868295</wp:posOffset>
                </wp:positionH>
                <wp:positionV relativeFrom="paragraph">
                  <wp:posOffset>530860</wp:posOffset>
                </wp:positionV>
                <wp:extent cx="2829560" cy="4761865"/>
                <wp:effectExtent l="0" t="0" r="8890" b="635"/>
                <wp:wrapNone/>
                <wp:docPr id="9" name="文本框 9"/>
                <wp:cNvGraphicFramePr/>
                <a:graphic xmlns:a="http://schemas.openxmlformats.org/drawingml/2006/main">
                  <a:graphicData uri="http://schemas.microsoft.com/office/word/2010/wordprocessingShape">
                    <wps:wsp>
                      <wps:cNvSpPr txBox="1"/>
                      <wps:spPr>
                        <a:xfrm>
                          <a:off x="0" y="0"/>
                          <a:ext cx="2829560" cy="4761865"/>
                        </a:xfrm>
                        <a:prstGeom prst="rect">
                          <a:avLst/>
                        </a:prstGeom>
                        <a:solidFill>
                          <a:srgbClr val="FFFFFF"/>
                        </a:solidFill>
                        <a:ln>
                          <a:noFill/>
                        </a:ln>
                        <a:effectLst/>
                      </wps:spPr>
                      <wps:txbx>
                        <w:txbxContent>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承包人：（公章）</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社会统一信用代码证号：</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账  号：</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8"/>
                                <w:szCs w:val="28"/>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r>
                              <w:rPr>
                                <w:rFonts w:hint="eastAsia" w:ascii="宋体" w:hAnsi="宋体" w:eastAsia="宋体" w:cs="宋体"/>
                                <w:sz w:val="28"/>
                                <w:szCs w:val="28"/>
                                <w:u w:val="single"/>
                              </w:rPr>
                              <w:t xml:space="preserve">   </w:t>
                            </w:r>
                          </w:p>
                        </w:txbxContent>
                      </wps:txbx>
                      <wps:bodyPr upright="1"/>
                    </wps:wsp>
                  </a:graphicData>
                </a:graphic>
              </wp:anchor>
            </w:drawing>
          </mc:Choice>
          <mc:Fallback>
            <w:pict>
              <v:shape id="_x0000_s1026" o:spid="_x0000_s1026" o:spt="202" type="#_x0000_t202" style="position:absolute;left:0pt;margin-left:225.85pt;margin-top:41.8pt;height:374.95pt;width:222.8pt;z-index:251659264;mso-width-relative:page;mso-height-relative:page;" fillcolor="#FFFFFF" filled="t" stroked="f" coordsize="21600,21600" o:gfxdata="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AZJHqPYAAAACgEAAA8AAAAAAAAAAQAgAAAAIgAAAGRycy9kb3du&#10;cmV2LnhtbFBLAQIUABQAAAAIAIdO4kDCrZnRxgEAAIYDAAAOAAAAAAAAAAEAIAAAACcBAABkcnMv&#10;ZTJvRG9jLnhtbFBLBQYAAAAABgAGAFkBAABfBQ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承包人：（公章）</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社会统一信用代码证号：</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账  号：</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8"/>
                          <w:szCs w:val="28"/>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r>
                        <w:rPr>
                          <w:rFonts w:hint="eastAsia" w:ascii="宋体" w:hAnsi="宋体" w:eastAsia="宋体" w:cs="宋体"/>
                          <w:sz w:val="28"/>
                          <w:szCs w:val="28"/>
                          <w:u w:val="single"/>
                        </w:rPr>
                        <w:t xml:space="preserve">   </w:t>
                      </w:r>
                    </w:p>
                  </w:txbxContent>
                </v:textbox>
              </v:shape>
            </w:pict>
          </mc:Fallback>
        </mc:AlternateContent>
      </w: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-133985</wp:posOffset>
                </wp:positionH>
                <wp:positionV relativeFrom="paragraph">
                  <wp:posOffset>534035</wp:posOffset>
                </wp:positionV>
                <wp:extent cx="2834005" cy="4782820"/>
                <wp:effectExtent l="0" t="0" r="4445" b="17780"/>
                <wp:wrapNone/>
                <wp:docPr id="6" name="文本框 6"/>
                <wp:cNvGraphicFramePr/>
                <a:graphic xmlns:a="http://schemas.openxmlformats.org/drawingml/2006/main">
                  <a:graphicData uri="http://schemas.microsoft.com/office/word/2010/wordprocessingShape">
                    <wps:wsp>
                      <wps:cNvSpPr txBox="1"/>
                      <wps:spPr>
                        <a:xfrm>
                          <a:off x="0" y="0"/>
                          <a:ext cx="2843530" cy="4773295"/>
                        </a:xfrm>
                        <a:prstGeom prst="rect">
                          <a:avLst/>
                        </a:prstGeom>
                        <a:solidFill>
                          <a:srgbClr val="FFFFFF"/>
                        </a:solidFill>
                        <a:ln>
                          <a:noFill/>
                        </a:ln>
                        <a:effectLst/>
                      </wps:spPr>
                      <wps:txbx>
                        <w:txbxContent>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发包人：（公章）</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社会统一信用代码证号：</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账  号：</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r>
                              <w:rPr>
                                <w:rFonts w:hint="eastAsia" w:ascii="宋体" w:hAnsi="宋体" w:eastAsia="宋体" w:cs="宋体"/>
                                <w:sz w:val="24"/>
                                <w:szCs w:val="24"/>
                                <w:u w:val="single"/>
                              </w:rPr>
                              <w:t xml:space="preserve">  </w:t>
                            </w:r>
                          </w:p>
                        </w:txbxContent>
                      </wps:txbx>
                      <wps:bodyPr upright="1"/>
                    </wps:wsp>
                  </a:graphicData>
                </a:graphic>
              </wp:anchor>
            </w:drawing>
          </mc:Choice>
          <mc:Fallback>
            <w:pict>
              <v:shape id="_x0000_s1026" o:spid="_x0000_s1026" o:spt="202" type="#_x0000_t202" style="position:absolute;left:0pt;margin-left:-10.55pt;margin-top:42.05pt;height:376.6pt;width:223.15pt;z-index:251660288;mso-width-relative:page;mso-height-relative:page;" fillcolor="#FFFFFF" filled="t" stroked="f" coordsize="21600,21600" o:gfxdata="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CqzedgAAAAKAQAADwAAAAAAAAABACAAAAAiAAAAZHJzL2Rv&#10;d25yZXYueG1sUEsBAhQAFAAAAAgAh07iQKRZlqjIAQAAhgMAAA4AAAAAAAAAAQAgAAAAJwEAAGRy&#10;cy9lMm9Eb2MueG1sUEsFBgAAAAAGAAYAWQEAAGEFA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发包人：（公章）</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社会统一信用代码证号：</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账  号：</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r>
                        <w:rPr>
                          <w:rFonts w:hint="eastAsia" w:ascii="宋体" w:hAnsi="宋体" w:eastAsia="宋体" w:cs="宋体"/>
                          <w:sz w:val="24"/>
                          <w:szCs w:val="24"/>
                          <w:u w:val="single"/>
                        </w:rPr>
                        <w:t xml:space="preserve">  </w:t>
                      </w:r>
                    </w:p>
                  </w:txbxContent>
                </v:textbox>
              </v:shape>
            </w:pict>
          </mc:Fallback>
        </mc:AlternateContent>
      </w:r>
      <w:r>
        <w:rPr>
          <w:rFonts w:ascii="宋体" w:hAnsi="宋体" w:cs="仿宋_GB2312"/>
          <w:color w:val="auto"/>
          <w:sz w:val="24"/>
          <w:szCs w:val="24"/>
        </w:rPr>
        <w:t>工程质量保修书由发包人、承包人在工程竣工验收前共同签署，作为施工合同附件，其有效期限至保修期满。</w:t>
      </w:r>
      <w:r>
        <w:rPr>
          <w:rFonts w:hint="eastAsia" w:ascii="宋体" w:hAnsi="宋体" w:eastAsia="宋体" w:cs="宋体"/>
          <w:color w:val="auto"/>
          <w:sz w:val="24"/>
          <w:szCs w:val="24"/>
          <w:highlight w:val="none"/>
        </w:rPr>
        <w:t> </w:t>
      </w:r>
    </w:p>
    <w:p>
      <w:pPr>
        <w:pStyle w:val="2"/>
        <w:rPr>
          <w:rFonts w:hint="eastAsia" w:ascii="宋体" w:hAnsi="宋体" w:eastAsia="宋体" w:cs="宋体"/>
          <w:color w:val="auto"/>
          <w:sz w:val="24"/>
          <w:szCs w:val="24"/>
          <w:highlight w:val="none"/>
        </w:rPr>
      </w:pPr>
    </w:p>
    <w:p>
      <w:pPr>
        <w:rPr>
          <w:rFonts w:hint="eastAsia"/>
        </w:rPr>
      </w:pPr>
    </w:p>
    <w:p/>
    <w:p>
      <w:pPr>
        <w:snapToGrid w:val="0"/>
        <w:spacing w:line="360" w:lineRule="auto"/>
        <w:ind w:firstLine="420" w:firstLineChars="200"/>
        <w:rPr>
          <w:rFonts w:ascii="仿宋_GB2312" w:hAnsi="黑体" w:eastAsia="仿宋_GB2312"/>
          <w:color w:val="auto"/>
          <w:highlight w:val="none"/>
        </w:rPr>
      </w:pPr>
    </w:p>
    <w:p>
      <w:pPr>
        <w:outlineLvl w:val="9"/>
        <w:rPr>
          <w:rFonts w:ascii="仿宋_GB2312" w:hAnsi="黑体" w:eastAsia="仿宋_GB2312"/>
          <w:color w:val="auto"/>
          <w:highlight w:val="none"/>
        </w:rPr>
      </w:pPr>
    </w:p>
    <w:p>
      <w:pPr>
        <w:outlineLvl w:val="9"/>
        <w:rPr>
          <w:rFonts w:ascii="仿宋_GB2312" w:hAnsi="黑体" w:eastAsia="仿宋_GB2312"/>
          <w:color w:val="auto"/>
          <w:highlight w:val="none"/>
        </w:rPr>
      </w:pPr>
    </w:p>
    <w:p>
      <w:pPr>
        <w:outlineLvl w:val="9"/>
        <w:rPr>
          <w:rFonts w:ascii="仿宋_GB2312" w:hAnsi="黑体" w:eastAsia="仿宋_GB2312"/>
          <w:color w:val="auto"/>
          <w:highlight w:val="none"/>
        </w:rPr>
      </w:pPr>
    </w:p>
    <w:p>
      <w:pPr>
        <w:outlineLvl w:val="9"/>
        <w:rPr>
          <w:rFonts w:ascii="仿宋_GB2312" w:hAnsi="黑体" w:eastAsia="仿宋_GB2312"/>
          <w:color w:val="auto"/>
          <w:highlight w:val="none"/>
        </w:rPr>
      </w:pPr>
    </w:p>
    <w:p>
      <w:pPr>
        <w:outlineLvl w:val="9"/>
        <w:rPr>
          <w:rFonts w:ascii="仿宋_GB2312" w:hAnsi="黑体" w:eastAsia="仿宋_GB2312"/>
          <w:color w:val="auto"/>
          <w:highlight w:val="none"/>
        </w:rPr>
      </w:pPr>
    </w:p>
    <w:p>
      <w:pPr>
        <w:jc w:val="left"/>
        <w:outlineLvl w:val="1"/>
        <w:rPr>
          <w:rFonts w:hint="eastAsia" w:ascii="仿宋_GB2312" w:hAnsi="仿宋_GB2312" w:eastAsia="仿宋_GB2312" w:cs="仿宋_GB2312"/>
          <w:color w:val="auto"/>
          <w:sz w:val="30"/>
          <w:szCs w:val="30"/>
          <w:highlight w:val="none"/>
        </w:rPr>
      </w:pPr>
      <w:bookmarkStart w:id="1221" w:name="_Toc362478915"/>
      <w:r>
        <w:rPr>
          <w:rFonts w:hint="eastAsia" w:ascii="仿宋_GB2312" w:hAnsi="仿宋_GB2312" w:eastAsia="仿宋_GB2312" w:cs="仿宋_GB2312"/>
          <w:color w:val="auto"/>
          <w:sz w:val="30"/>
          <w:szCs w:val="30"/>
          <w:highlight w:val="none"/>
        </w:rPr>
        <w:t>附件</w:t>
      </w:r>
      <w:r>
        <w:rPr>
          <w:rFonts w:ascii="仿宋_GB2312" w:hAnsi="仿宋_GB2312" w:eastAsia="仿宋_GB2312" w:cs="仿宋_GB2312"/>
          <w:color w:val="auto"/>
          <w:sz w:val="30"/>
          <w:szCs w:val="30"/>
          <w:highlight w:val="none"/>
        </w:rPr>
        <w:t>8</w:t>
      </w:r>
      <w:r>
        <w:rPr>
          <w:rFonts w:hint="eastAsia" w:ascii="仿宋_GB2312" w:hAnsi="仿宋_GB2312" w:eastAsia="仿宋_GB2312" w:cs="仿宋_GB2312"/>
          <w:color w:val="auto"/>
          <w:sz w:val="30"/>
          <w:szCs w:val="30"/>
          <w:highlight w:val="none"/>
        </w:rPr>
        <w:t>：</w:t>
      </w:r>
      <w:bookmarkEnd w:id="860"/>
      <w:bookmarkEnd w:id="861"/>
      <w:bookmarkEnd w:id="1221"/>
      <w:bookmarkStart w:id="1222" w:name="_Toc41181775"/>
      <w:bookmarkStart w:id="1223" w:name="_Toc1106295181"/>
    </w:p>
    <w:p>
      <w:pPr>
        <w:pStyle w:val="2"/>
        <w:rPr>
          <w:rFonts w:hint="eastAsia" w:ascii="仿宋_GB2312" w:hAnsi="仿宋_GB2312" w:eastAsia="仿宋_GB2312" w:cs="仿宋_GB2312"/>
          <w:color w:val="auto"/>
          <w:sz w:val="30"/>
          <w:szCs w:val="30"/>
          <w:highlight w:val="none"/>
        </w:rPr>
      </w:pPr>
    </w:p>
    <w:p>
      <w:pPr>
        <w:rPr>
          <w:rFonts w:hint="eastAsia" w:ascii="仿宋_GB2312" w:hAnsi="仿宋_GB2312" w:eastAsia="仿宋_GB2312" w:cs="仿宋_GB2312"/>
          <w:color w:val="auto"/>
          <w:sz w:val="30"/>
          <w:szCs w:val="30"/>
          <w:highlight w:val="none"/>
        </w:rPr>
      </w:pPr>
    </w:p>
    <w:p>
      <w:pPr>
        <w:pStyle w:val="2"/>
        <w:rPr>
          <w:rFonts w:hint="eastAsia" w:ascii="仿宋_GB2312" w:hAnsi="仿宋_GB2312" w:eastAsia="仿宋_GB2312" w:cs="仿宋_GB2312"/>
          <w:color w:val="auto"/>
          <w:sz w:val="30"/>
          <w:szCs w:val="30"/>
          <w:highlight w:val="none"/>
        </w:rPr>
      </w:pPr>
    </w:p>
    <w:p>
      <w:pPr>
        <w:rPr>
          <w:rFonts w:hint="eastAsia" w:ascii="仿宋_GB2312" w:hAnsi="仿宋_GB2312" w:eastAsia="仿宋_GB2312" w:cs="仿宋_GB2312"/>
          <w:color w:val="auto"/>
          <w:sz w:val="30"/>
          <w:szCs w:val="30"/>
          <w:highlight w:val="none"/>
        </w:rPr>
      </w:pPr>
    </w:p>
    <w:p>
      <w:pPr>
        <w:pStyle w:val="2"/>
        <w:rPr>
          <w:rFonts w:hint="eastAsia"/>
        </w:rPr>
      </w:pPr>
    </w:p>
    <w:p>
      <w:pPr>
        <w:jc w:val="center"/>
        <w:outlineLvl w:val="1"/>
        <w:rPr>
          <w:rFonts w:ascii="黑体" w:hAnsi="黑体" w:eastAsia="黑体" w:cs="黑体"/>
          <w:b w:val="0"/>
          <w:color w:val="auto"/>
          <w:sz w:val="30"/>
          <w:szCs w:val="30"/>
          <w:highlight w:val="none"/>
        </w:rPr>
      </w:pPr>
      <w:r>
        <w:rPr>
          <w:rFonts w:hint="eastAsia" w:ascii="黑体" w:hAnsi="黑体" w:eastAsia="黑体" w:cs="黑体"/>
          <w:b w:val="0"/>
          <w:color w:val="auto"/>
          <w:sz w:val="30"/>
          <w:szCs w:val="30"/>
          <w:highlight w:val="none"/>
        </w:rPr>
        <w:t>廉政建设责任书</w:t>
      </w:r>
      <w:bookmarkEnd w:id="1222"/>
      <w:bookmarkEnd w:id="1223"/>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建设责任书。</w:t>
      </w:r>
    </w:p>
    <w:p>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一、双方的责任</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1.1应严格遵守国家关于建设工程的有关法律、法规，相关政策，以及廉政建设的各项规定。</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1.2严格执行建设工程合同文件，自觉按合同办事。</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1.3各项活动必须坚持公开、公平、公正、诚信、透明的原则(除法律法规另有规定者外)，不得为获取不正当的利益，损害国家、集体和对方利益，不得违反建设工程管理的规章制度。</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1.4发现对方在业务活动中有违规、违纪、违法行为的，应及时提醒对方，情节严重的，应向其上级主管部门或纪检监察、司法等有关机关举报。</w:t>
      </w:r>
    </w:p>
    <w:p>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二、发包人责任</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发包人从事该建设工程项目的负责人和工作人员，在工程建设的事前、事中、事后应遵守以下规定：</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2.1不得向承包人和相关单位索要或接受回扣、礼金、有价证券、贵重物品和好处费、感谢费等。</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2.2不得在承包人和相关单位报销任何应由发包人或个人支付的费用。</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2.3不得要求、暗示或接受承包人和相关单位为个人装修住房、婚丧嫁娶、配偶子女的工作安排以及出国(境)、旅游等提供方便。</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2.4不得参加有可能影响公正执行公务的承包人和相关单位的宴请、健身、娱乐等活动。</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2.5不得向承包人和相关单位介绍或为配偶、子女、亲属参与同发包人工程建设管理合同有关的业务活动；不得以任何理由要求承包人和相关单位使用某种产品、材料和设备。</w:t>
      </w:r>
    </w:p>
    <w:p>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三、承包人责任</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应与发包人保持正常的业务交往，按照有关法律法规和程序开展业务工作，严格执行工程建设的有关方针、政策，执行工程建设强制性标准，并遵守以下规定：</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3.1不得以任何理由向发包人及其工作人员索要、接受或赠送礼金、有价证券、贵重物品及回扣、好处费、感谢费等。</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3.2不得以任何理由为发包人和相关单位报销应由对方或个人支付的费用。</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3.3不得接受或暗示为发包人、相关单位或个人装修住房、婚丧嫁娶、配偶子女的工作安排以及出国(境)、旅游等提供方便。</w:t>
      </w:r>
    </w:p>
    <w:p>
      <w:pPr>
        <w:snapToGrid w:val="0"/>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3.4不得以任何理由为发包人、相关单位或个人组织有可能影响公正执行公务的宴请、健身、娱乐等活动。</w:t>
      </w:r>
    </w:p>
    <w:p>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四、违约责任</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4.1发包人工作人员有违反本责任书第一、二条责任行为的，依据有关法律、法规给予处理；涉嫌犯罪的，移交司法机关追究刑事责任；给承包人单位造成经济损失的，应予以赔偿。</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4.2承包人工作人员有违反本责任书第一、三条责任行为的，依据有关法律法规处理；涉嫌犯罪的，移交司法机关追究刑事责任；给发包人单位造成经济损失的，应予以赔偿。</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4.3本责任书作为本合同的组成部分，与本合同具有同等法律效力，经双方签署后立即生效。</w:t>
      </w:r>
    </w:p>
    <w:p>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五、责任书有效期</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本责任书的有效期为双方签署之日起至该工程项目竣工验收合格时止。</w:t>
      </w:r>
    </w:p>
    <w:p>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六、责任书份数</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本责任书一式两份，发包人承包人各执一份，具有同等效力。</w:t>
      </w:r>
    </w:p>
    <w:p>
      <w:pPr>
        <w:snapToGrid w:val="0"/>
        <w:spacing w:line="360" w:lineRule="auto"/>
        <w:ind w:left="105" w:leftChars="50" w:firstLine="600"/>
        <w:rPr>
          <w:rFonts w:ascii="仿宋_GB2312" w:hAnsi="仿宋_GB2312" w:eastAsia="仿宋_GB2312" w:cs="仿宋_GB2312"/>
          <w:color w:val="auto"/>
          <w:sz w:val="30"/>
          <w:szCs w:val="30"/>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2803525</wp:posOffset>
                </wp:positionH>
                <wp:positionV relativeFrom="paragraph">
                  <wp:posOffset>62230</wp:posOffset>
                </wp:positionV>
                <wp:extent cx="2865755" cy="2667635"/>
                <wp:effectExtent l="0" t="0" r="10795" b="18415"/>
                <wp:wrapNone/>
                <wp:docPr id="16" name="文本框 16"/>
                <wp:cNvGraphicFramePr/>
                <a:graphic xmlns:a="http://schemas.openxmlformats.org/drawingml/2006/main">
                  <a:graphicData uri="http://schemas.microsoft.com/office/word/2010/wordprocessingShape">
                    <wps:wsp>
                      <wps:cNvSpPr txBox="1"/>
                      <wps:spPr>
                        <a:xfrm>
                          <a:off x="0" y="0"/>
                          <a:ext cx="2865755" cy="2667635"/>
                        </a:xfrm>
                        <a:prstGeom prst="rect">
                          <a:avLst/>
                        </a:prstGeom>
                        <a:solidFill>
                          <a:srgbClr val="FFFFFF"/>
                        </a:solidFill>
                        <a:ln>
                          <a:noFill/>
                        </a:ln>
                        <a:effectLst/>
                      </wps:spPr>
                      <wps:txbx>
                        <w:txbxContent>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承包人：（公章）</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xbxContent>
                      </wps:txbx>
                      <wps:bodyPr upright="1"/>
                    </wps:wsp>
                  </a:graphicData>
                </a:graphic>
              </wp:anchor>
            </w:drawing>
          </mc:Choice>
          <mc:Fallback>
            <w:pict>
              <v:shape id="_x0000_s1026" o:spid="_x0000_s1026" o:spt="202" type="#_x0000_t202" style="position:absolute;left:0pt;margin-left:220.75pt;margin-top:4.9pt;height:210.05pt;width:225.65pt;z-index:251663360;mso-width-relative:page;mso-height-relative:page;" fillcolor="#FFFFFF" filled="t" stroked="f" coordsize="21600,21600" o:gfxdata="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f703b1wAAAAkBAAAPAAAAAAAAAAEAIAAAACIAAABkcnMvZG93&#10;bnJldi54bWxQSwECFAAUAAAACACHTuJARg3ltcgBAACIAwAADgAAAAAAAAABACAAAAAmAQAAZHJz&#10;L2Uyb0RvYy54bWxQSwUGAAAAAAYABgBZAQAAYAU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承包人：（公章）</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xbxContent>
                </v:textbox>
              </v:shape>
            </w:pict>
          </mc:Fallback>
        </mc:AlternateContent>
      </w: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-60960</wp:posOffset>
                </wp:positionH>
                <wp:positionV relativeFrom="paragraph">
                  <wp:posOffset>63500</wp:posOffset>
                </wp:positionV>
                <wp:extent cx="2865755" cy="2667635"/>
                <wp:effectExtent l="0" t="0" r="10795" b="18415"/>
                <wp:wrapNone/>
                <wp:docPr id="10" name="文本框 10"/>
                <wp:cNvGraphicFramePr/>
                <a:graphic xmlns:a="http://schemas.openxmlformats.org/drawingml/2006/main">
                  <a:graphicData uri="http://schemas.microsoft.com/office/word/2010/wordprocessingShape">
                    <wps:wsp>
                      <wps:cNvSpPr txBox="1"/>
                      <wps:spPr>
                        <a:xfrm>
                          <a:off x="0" y="0"/>
                          <a:ext cx="2865755" cy="2667635"/>
                        </a:xfrm>
                        <a:prstGeom prst="rect">
                          <a:avLst/>
                        </a:prstGeom>
                        <a:solidFill>
                          <a:srgbClr val="FFFFFF"/>
                        </a:solidFill>
                        <a:ln>
                          <a:noFill/>
                        </a:ln>
                        <a:effectLst/>
                      </wps:spPr>
                      <wps:txbx>
                        <w:txbxContent>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发包人：（公章）</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xbxContent>
                      </wps:txbx>
                      <wps:bodyPr upright="1"/>
                    </wps:wsp>
                  </a:graphicData>
                </a:graphic>
              </wp:anchor>
            </w:drawing>
          </mc:Choice>
          <mc:Fallback>
            <w:pict>
              <v:shape id="_x0000_s1026" o:spid="_x0000_s1026" o:spt="202" type="#_x0000_t202" style="position:absolute;left:0pt;margin-left:-4.8pt;margin-top:5pt;height:210.05pt;width:225.65pt;z-index:251662336;mso-width-relative:page;mso-height-relative:page;" fillcolor="#FFFFFF" filled="t" stroked="f" coordsize="21600,21600" o:gfxdata="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BHkM/zXAAAACQEAAA8AAAAAAAAAAQAgAAAAIgAAAGRycy9kb3du&#10;cmV2LnhtbFBLAQIUABQAAAAIAIdO4kBTIYoCxwEAAIgDAAAOAAAAAAAAAAEAIAAAACYBAABkcnMv&#10;ZTJvRG9jLnhtbFBLBQYAAAAABgAGAFkBAABfBQ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发包人：（公章）</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（签字）</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xbxContent>
                </v:textbox>
              </v:shape>
            </w:pict>
          </mc:Fallback>
        </mc:AlternateContent>
      </w:r>
    </w:p>
    <w:p>
      <w:pPr>
        <w:spacing w:line="360" w:lineRule="auto"/>
        <w:rPr>
          <w:color w:val="auto"/>
          <w:highlight w:val="none"/>
        </w:rPr>
      </w:pPr>
    </w:p>
    <w:p>
      <w:pPr>
        <w:spacing w:line="360" w:lineRule="auto"/>
        <w:jc w:val="left"/>
        <w:rPr>
          <w:rFonts w:eastAsia="黑体"/>
          <w:b/>
          <w:color w:val="auto"/>
          <w:sz w:val="32"/>
          <w:szCs w:val="32"/>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bookmarkEnd w:id="1163"/>
    <w:p>
      <w:pPr>
        <w:rPr>
          <w:rFonts w:hint="eastAsia"/>
          <w:bCs/>
          <w:szCs w:val="32"/>
          <w:highlight w:val="none"/>
        </w:rPr>
      </w:pPr>
    </w:p>
    <w:p>
      <w:pPr>
        <w:rPr>
          <w:rFonts w:hint="eastAsia"/>
          <w:bCs/>
          <w:szCs w:val="32"/>
          <w:highlight w:val="none"/>
        </w:rPr>
      </w:pPr>
    </w:p>
    <w:p>
      <w:pPr>
        <w:rPr>
          <w:rFonts w:hint="eastAsia"/>
          <w:bCs/>
          <w:szCs w:val="32"/>
          <w:highlight w:val="none"/>
        </w:rPr>
      </w:pPr>
    </w:p>
    <w:p>
      <w:pPr>
        <w:rPr>
          <w:rFonts w:hint="eastAsia"/>
          <w:bCs/>
          <w:szCs w:val="32"/>
          <w:highlight w:val="none"/>
        </w:rPr>
      </w:pPr>
    </w:p>
    <w:p>
      <w:pPr>
        <w:rPr>
          <w:rFonts w:hint="eastAsia"/>
          <w:bCs/>
          <w:szCs w:val="32"/>
          <w:highlight w:val="none"/>
        </w:rPr>
      </w:pPr>
    </w:p>
    <w:p>
      <w:pPr>
        <w:pStyle w:val="43"/>
        <w:numPr>
          <w:ilvl w:val="0"/>
          <w:numId w:val="0"/>
        </w:numPr>
        <w:spacing w:beforeLines="50" w:afterLines="50" w:line="440" w:lineRule="exact"/>
        <w:jc w:val="center"/>
        <w:rPr>
          <w:rFonts w:hint="eastAsia" w:eastAsia="宋体" w:cs="Times New Roman"/>
          <w:bCs/>
          <w:szCs w:val="32"/>
          <w:highlight w:val="none"/>
          <w:lang w:val="en-US" w:eastAsia="zh-CN"/>
        </w:rPr>
      </w:pPr>
    </w:p>
    <w:p>
      <w:pPr>
        <w:pStyle w:val="43"/>
        <w:numPr>
          <w:ilvl w:val="0"/>
          <w:numId w:val="9"/>
        </w:numPr>
        <w:spacing w:beforeLines="50" w:afterLines="50" w:line="440" w:lineRule="exact"/>
        <w:jc w:val="center"/>
        <w:rPr>
          <w:rFonts w:hint="eastAsia" w:eastAsia="宋体" w:cs="Times New Roman"/>
          <w:bCs/>
          <w:szCs w:val="32"/>
          <w:highlight w:val="none"/>
        </w:rPr>
      </w:pPr>
      <w:r>
        <w:rPr>
          <w:rFonts w:hint="eastAsia" w:eastAsia="宋体" w:cs="Times New Roman"/>
          <w:bCs/>
          <w:szCs w:val="32"/>
          <w:highlight w:val="none"/>
          <w:lang w:val="en-US" w:eastAsia="zh-CN"/>
        </w:rPr>
        <w:t>图纸</w:t>
      </w:r>
    </w:p>
    <w:p>
      <w:pPr>
        <w:pStyle w:val="43"/>
        <w:numPr>
          <w:ilvl w:val="0"/>
          <w:numId w:val="0"/>
        </w:numPr>
        <w:spacing w:beforeLines="50" w:afterLines="50" w:line="440" w:lineRule="exact"/>
        <w:jc w:val="center"/>
        <w:rPr>
          <w:rFonts w:hint="eastAsia" w:eastAsia="宋体" w:cs="Times New Roman"/>
          <w:bCs/>
          <w:szCs w:val="32"/>
          <w:highlight w:val="none"/>
        </w:rPr>
      </w:pPr>
      <w:r>
        <w:rPr>
          <w:rFonts w:hint="eastAsia" w:eastAsia="宋体" w:cs="Times New Roman"/>
          <w:bCs/>
          <w:szCs w:val="32"/>
          <w:highlight w:val="none"/>
          <w:lang w:val="en-US" w:eastAsia="zh-CN"/>
        </w:rPr>
        <w:t>另附</w:t>
      </w:r>
    </w:p>
    <w:p>
      <w:pPr>
        <w:pStyle w:val="43"/>
        <w:numPr>
          <w:ilvl w:val="0"/>
          <w:numId w:val="0"/>
        </w:numPr>
        <w:spacing w:beforeLines="50" w:afterLines="50" w:line="440" w:lineRule="exact"/>
        <w:jc w:val="both"/>
        <w:rPr>
          <w:rFonts w:hint="eastAsia" w:eastAsia="宋体" w:cs="Times New Roman"/>
          <w:bCs/>
          <w:szCs w:val="32"/>
          <w:highlight w:val="none"/>
        </w:rPr>
      </w:pPr>
    </w:p>
    <w:p>
      <w:pPr>
        <w:rPr>
          <w:rFonts w:hint="eastAsia"/>
          <w:bCs/>
          <w:szCs w:val="32"/>
          <w:highlight w:val="none"/>
        </w:rPr>
      </w:pPr>
      <w:r>
        <w:rPr>
          <w:rFonts w:hint="eastAsia"/>
          <w:bCs/>
          <w:szCs w:val="32"/>
          <w:highlight w:val="none"/>
        </w:rPr>
        <w:br w:type="page"/>
      </w:r>
    </w:p>
    <w:p>
      <w:pPr>
        <w:pStyle w:val="43"/>
        <w:spacing w:beforeLines="50" w:afterLines="50" w:line="440" w:lineRule="exact"/>
        <w:rPr>
          <w:bCs/>
          <w:szCs w:val="32"/>
          <w:highlight w:val="none"/>
        </w:rPr>
      </w:pPr>
      <w:r>
        <w:rPr>
          <w:rFonts w:hint="eastAsia"/>
          <w:bCs/>
          <w:szCs w:val="32"/>
          <w:highlight w:val="none"/>
        </w:rPr>
        <w:t>第</w:t>
      </w:r>
      <w:r>
        <w:rPr>
          <w:rFonts w:hint="eastAsia"/>
          <w:bCs/>
          <w:szCs w:val="32"/>
          <w:highlight w:val="none"/>
          <w:lang w:val="en-US" w:eastAsia="zh-CN"/>
        </w:rPr>
        <w:t>六</w:t>
      </w:r>
      <w:r>
        <w:rPr>
          <w:rFonts w:hint="eastAsia"/>
          <w:bCs/>
          <w:szCs w:val="32"/>
          <w:highlight w:val="none"/>
        </w:rPr>
        <w:t>章  投标文件格式</w:t>
      </w:r>
      <w:bookmarkEnd w:id="847"/>
      <w:bookmarkEnd w:id="848"/>
      <w:bookmarkEnd w:id="849"/>
      <w:bookmarkEnd w:id="850"/>
      <w:bookmarkEnd w:id="851"/>
      <w:bookmarkEnd w:id="852"/>
      <w:bookmarkEnd w:id="853"/>
      <w:bookmarkEnd w:id="854"/>
      <w:bookmarkEnd w:id="855"/>
      <w:bookmarkEnd w:id="856"/>
      <w:bookmarkEnd w:id="857"/>
      <w:bookmarkEnd w:id="858"/>
      <w:bookmarkEnd w:id="859"/>
    </w:p>
    <w:p>
      <w:pPr>
        <w:rPr>
          <w:highlight w:val="none"/>
        </w:rPr>
      </w:pPr>
    </w:p>
    <w:p>
      <w:pPr>
        <w:rPr>
          <w:highlight w:val="none"/>
        </w:rPr>
      </w:pPr>
    </w:p>
    <w:p>
      <w:pPr>
        <w:rPr>
          <w:highlight w:val="none"/>
        </w:rPr>
      </w:pPr>
    </w:p>
    <w:p>
      <w:pPr>
        <w:jc w:val="center"/>
        <w:rPr>
          <w:rFonts w:eastAsia="黑体"/>
          <w:sz w:val="20"/>
          <w:szCs w:val="20"/>
          <w:highlight w:val="none"/>
        </w:rPr>
      </w:pPr>
      <w:r>
        <w:rPr>
          <w:rFonts w:eastAsia="黑体"/>
          <w:sz w:val="28"/>
          <w:szCs w:val="28"/>
          <w:highlight w:val="none"/>
        </w:rPr>
        <w:t>（项目名称）</w:t>
      </w:r>
    </w:p>
    <w:p>
      <w:pPr>
        <w:jc w:val="center"/>
        <w:rPr>
          <w:rFonts w:eastAsia="黑体"/>
          <w:sz w:val="20"/>
          <w:szCs w:val="20"/>
          <w:highlight w:val="none"/>
        </w:rPr>
      </w:pPr>
    </w:p>
    <w:p>
      <w:pPr>
        <w:jc w:val="center"/>
        <w:rPr>
          <w:rFonts w:eastAsia="黑体"/>
          <w:sz w:val="20"/>
          <w:szCs w:val="20"/>
          <w:highlight w:val="none"/>
        </w:rPr>
      </w:pPr>
    </w:p>
    <w:p>
      <w:pPr>
        <w:jc w:val="center"/>
        <w:rPr>
          <w:rFonts w:eastAsia="黑体"/>
          <w:sz w:val="20"/>
          <w:szCs w:val="20"/>
          <w:highlight w:val="none"/>
        </w:rPr>
      </w:pPr>
    </w:p>
    <w:p>
      <w:pPr>
        <w:rPr>
          <w:rFonts w:eastAsia="黑体"/>
          <w:sz w:val="20"/>
          <w:szCs w:val="20"/>
          <w:highlight w:val="none"/>
        </w:rPr>
      </w:pPr>
    </w:p>
    <w:p>
      <w:pPr>
        <w:jc w:val="center"/>
        <w:rPr>
          <w:rFonts w:eastAsia="黑体"/>
          <w:sz w:val="44"/>
          <w:szCs w:val="44"/>
          <w:highlight w:val="none"/>
        </w:rPr>
      </w:pPr>
      <w:r>
        <w:rPr>
          <w:rFonts w:eastAsia="黑体"/>
          <w:sz w:val="44"/>
          <w:szCs w:val="44"/>
          <w:highlight w:val="none"/>
        </w:rPr>
        <w:t>投  标  文  件</w:t>
      </w:r>
      <w:r>
        <w:rPr>
          <w:rFonts w:hint="eastAsia" w:eastAsia="黑体"/>
          <w:sz w:val="44"/>
          <w:szCs w:val="44"/>
          <w:highlight w:val="none"/>
        </w:rPr>
        <w:t xml:space="preserve"> 一</w:t>
      </w:r>
    </w:p>
    <w:p>
      <w:pPr>
        <w:jc w:val="center"/>
        <w:rPr>
          <w:rFonts w:eastAsia="黑体"/>
          <w:sz w:val="44"/>
          <w:szCs w:val="44"/>
          <w:highlight w:val="none"/>
        </w:rPr>
      </w:pPr>
      <w:r>
        <w:rPr>
          <w:rFonts w:hint="eastAsia" w:eastAsia="黑体"/>
          <w:sz w:val="44"/>
          <w:szCs w:val="44"/>
          <w:highlight w:val="none"/>
        </w:rPr>
        <w:t>（资信证明文件）</w:t>
      </w: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pStyle w:val="2"/>
        <w:ind w:firstLine="420"/>
        <w:rPr>
          <w:rFonts w:ascii="Times New Roman"/>
          <w:szCs w:val="24"/>
          <w:highlight w:val="none"/>
        </w:rPr>
      </w:pPr>
    </w:p>
    <w:p>
      <w:pPr>
        <w:rPr>
          <w:rFonts w:ascii="Times New Roman"/>
          <w:szCs w:val="24"/>
          <w:highlight w:val="none"/>
        </w:rPr>
      </w:pPr>
    </w:p>
    <w:p>
      <w:pPr>
        <w:pStyle w:val="2"/>
        <w:rPr>
          <w:rFonts w:ascii="Times New Roman"/>
          <w:szCs w:val="24"/>
          <w:highlight w:val="none"/>
        </w:rPr>
      </w:pPr>
    </w:p>
    <w:p>
      <w:pPr>
        <w:rPr>
          <w:rFonts w:ascii="Times New Roman"/>
          <w:szCs w:val="24"/>
          <w:highlight w:val="none"/>
        </w:rPr>
      </w:pPr>
    </w:p>
    <w:p>
      <w:pPr>
        <w:pStyle w:val="2"/>
      </w:pPr>
    </w:p>
    <w:p>
      <w:pPr>
        <w:pStyle w:val="2"/>
        <w:ind w:firstLine="420"/>
        <w:rPr>
          <w:highlight w:val="none"/>
        </w:rPr>
      </w:pPr>
    </w:p>
    <w:p>
      <w:pPr>
        <w:rPr>
          <w:rFonts w:eastAsia="黑体"/>
          <w:sz w:val="28"/>
          <w:szCs w:val="28"/>
          <w:highlight w:val="none"/>
        </w:rPr>
      </w:pPr>
    </w:p>
    <w:p>
      <w:pPr>
        <w:rPr>
          <w:rFonts w:eastAsia="黑体"/>
          <w:sz w:val="28"/>
          <w:szCs w:val="28"/>
          <w:highlight w:val="none"/>
        </w:rPr>
      </w:pPr>
    </w:p>
    <w:p>
      <w:pPr>
        <w:jc w:val="center"/>
        <w:rPr>
          <w:rFonts w:eastAsia="黑体"/>
          <w:sz w:val="28"/>
          <w:szCs w:val="28"/>
          <w:u w:val="single"/>
        </w:rPr>
      </w:pPr>
      <w:r>
        <w:rPr>
          <w:rFonts w:hint="eastAsia" w:eastAsia="黑体"/>
          <w:sz w:val="28"/>
          <w:szCs w:val="28"/>
        </w:rPr>
        <w:t xml:space="preserve"> 投标人</w:t>
      </w:r>
      <w:r>
        <w:rPr>
          <w:rFonts w:eastAsia="黑体"/>
          <w:sz w:val="28"/>
          <w:szCs w:val="28"/>
        </w:rPr>
        <w:t>：</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w:t>
      </w:r>
      <w:r>
        <w:rPr>
          <w:rFonts w:hint="eastAsia" w:eastAsia="黑体"/>
          <w:sz w:val="28"/>
          <w:szCs w:val="28"/>
        </w:rPr>
        <w:t>盖</w:t>
      </w:r>
      <w:r>
        <w:rPr>
          <w:rFonts w:eastAsia="黑体"/>
          <w:sz w:val="28"/>
          <w:szCs w:val="28"/>
        </w:rPr>
        <w:t>章）</w:t>
      </w:r>
    </w:p>
    <w:p>
      <w:pPr>
        <w:jc w:val="center"/>
        <w:rPr>
          <w:rFonts w:eastAsia="黑体"/>
          <w:sz w:val="28"/>
          <w:szCs w:val="28"/>
        </w:rPr>
      </w:pPr>
      <w:r>
        <w:rPr>
          <w:rFonts w:hint="eastAsia" w:eastAsia="黑体"/>
          <w:sz w:val="28"/>
          <w:szCs w:val="28"/>
        </w:rPr>
        <w:t xml:space="preserve">   </w:t>
      </w:r>
      <w:r>
        <w:rPr>
          <w:rFonts w:eastAsia="黑体"/>
          <w:sz w:val="28"/>
          <w:szCs w:val="28"/>
        </w:rPr>
        <w:t>法定代表人</w:t>
      </w:r>
      <w:r>
        <w:rPr>
          <w:rFonts w:hint="eastAsia" w:eastAsia="黑体"/>
          <w:sz w:val="28"/>
          <w:szCs w:val="28"/>
          <w:lang w:val="en-US" w:eastAsia="zh-CN"/>
        </w:rPr>
        <w:t>或授权委托人</w:t>
      </w:r>
      <w:r>
        <w:rPr>
          <w:rFonts w:eastAsia="黑体"/>
          <w:sz w:val="28"/>
          <w:szCs w:val="28"/>
        </w:rPr>
        <w:t>：</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w:t>
      </w:r>
      <w:r>
        <w:rPr>
          <w:rFonts w:hint="eastAsia" w:eastAsia="黑体"/>
          <w:sz w:val="28"/>
          <w:szCs w:val="28"/>
        </w:rPr>
        <w:t>签字或盖章</w:t>
      </w:r>
      <w:r>
        <w:rPr>
          <w:rFonts w:eastAsia="黑体"/>
          <w:sz w:val="28"/>
          <w:szCs w:val="28"/>
        </w:rPr>
        <w:t>）</w:t>
      </w:r>
    </w:p>
    <w:p>
      <w:pPr>
        <w:jc w:val="center"/>
        <w:rPr>
          <w:rFonts w:eastAsia="黑体"/>
          <w:sz w:val="28"/>
          <w:szCs w:val="28"/>
          <w:highlight w:val="none"/>
        </w:rPr>
      </w:pPr>
      <w:r>
        <w:rPr>
          <w:rFonts w:hint="eastAsia" w:eastAsia="黑体"/>
          <w:sz w:val="28"/>
          <w:szCs w:val="28"/>
          <w:highlight w:val="none"/>
          <w:u w:val="single"/>
        </w:rPr>
        <w:t xml:space="preserve">      </w:t>
      </w:r>
      <w:r>
        <w:rPr>
          <w:rFonts w:eastAsia="黑体"/>
          <w:sz w:val="28"/>
          <w:szCs w:val="28"/>
          <w:highlight w:val="none"/>
        </w:rPr>
        <w:t>年</w:t>
      </w:r>
      <w:r>
        <w:rPr>
          <w:rFonts w:hint="eastAsia" w:eastAsia="黑体"/>
          <w:sz w:val="28"/>
          <w:szCs w:val="28"/>
          <w:highlight w:val="none"/>
          <w:u w:val="single"/>
        </w:rPr>
        <w:t xml:space="preserve">     </w:t>
      </w:r>
      <w:r>
        <w:rPr>
          <w:rFonts w:eastAsia="黑体"/>
          <w:sz w:val="28"/>
          <w:szCs w:val="28"/>
          <w:highlight w:val="none"/>
        </w:rPr>
        <w:t>月</w:t>
      </w:r>
      <w:r>
        <w:rPr>
          <w:rFonts w:hint="eastAsia" w:eastAsia="黑体"/>
          <w:sz w:val="28"/>
          <w:szCs w:val="28"/>
          <w:highlight w:val="none"/>
          <w:u w:val="single"/>
        </w:rPr>
        <w:t xml:space="preserve">     </w:t>
      </w:r>
      <w:r>
        <w:rPr>
          <w:rFonts w:eastAsia="黑体"/>
          <w:sz w:val="28"/>
          <w:szCs w:val="28"/>
          <w:highlight w:val="none"/>
        </w:rPr>
        <w:t>日</w:t>
      </w:r>
    </w:p>
    <w:p>
      <w:pPr>
        <w:rPr>
          <w:highlight w:val="none"/>
        </w:rPr>
      </w:pPr>
      <w:bookmarkStart w:id="1224" w:name="_Toc35425137"/>
      <w:bookmarkStart w:id="1225" w:name="_Toc12683"/>
      <w:bookmarkStart w:id="1226" w:name="_Toc35424971"/>
    </w:p>
    <w:p>
      <w:pPr>
        <w:spacing w:beforeLines="50" w:afterLines="50" w:line="440" w:lineRule="exact"/>
        <w:ind w:firstLine="643" w:firstLineChars="200"/>
        <w:jc w:val="left"/>
        <w:rPr>
          <w:rFonts w:ascii="宋体" w:hAnsi="宋体" w:cs="宋体"/>
          <w:b/>
          <w:sz w:val="28"/>
          <w:szCs w:val="28"/>
          <w:highlight w:val="none"/>
        </w:rPr>
      </w:pPr>
      <w:bookmarkStart w:id="1227" w:name="_Toc78803399"/>
      <w:r>
        <w:rPr>
          <w:rStyle w:val="121"/>
          <w:rFonts w:hint="eastAsia" w:ascii="宋体" w:hAnsi="宋体" w:cs="宋体"/>
          <w:sz w:val="32"/>
          <w:highlight w:val="none"/>
        </w:rPr>
        <w:br w:type="page"/>
      </w:r>
      <w:r>
        <w:rPr>
          <w:rStyle w:val="121"/>
          <w:rFonts w:hint="eastAsia" w:ascii="宋体" w:hAnsi="宋体" w:cs="宋体"/>
          <w:sz w:val="32"/>
          <w:highlight w:val="none"/>
        </w:rPr>
        <w:t>投标文件一</w:t>
      </w:r>
      <w:bookmarkEnd w:id="1224"/>
      <w:bookmarkEnd w:id="1225"/>
      <w:bookmarkEnd w:id="1226"/>
      <w:bookmarkEnd w:id="1227"/>
      <w:r>
        <w:rPr>
          <w:rFonts w:hint="eastAsia" w:ascii="宋体" w:hAnsi="宋体" w:cs="宋体"/>
          <w:b/>
          <w:sz w:val="28"/>
          <w:szCs w:val="28"/>
          <w:highlight w:val="none"/>
        </w:rPr>
        <w:t>：资信证明文件目录</w:t>
      </w:r>
    </w:p>
    <w:p>
      <w:pPr>
        <w:spacing w:line="440" w:lineRule="exact"/>
        <w:ind w:right="-168" w:rightChars="-80" w:firstLine="420" w:firstLineChars="200"/>
        <w:jc w:val="left"/>
        <w:rPr>
          <w:rFonts w:hint="eastAsia" w:ascii="宋体" w:hAnsi="宋体" w:cs="宋体"/>
          <w:szCs w:val="21"/>
        </w:rPr>
      </w:pPr>
      <w:r>
        <w:rPr>
          <w:rFonts w:hint="eastAsia" w:ascii="宋体" w:hAnsi="宋体" w:cs="宋体"/>
          <w:szCs w:val="21"/>
        </w:rPr>
        <w:t>（1）法定代表人身份证明和本人有效身份证(或法定代表人授权委托书和委托代理人有效身份证)；</w:t>
      </w:r>
    </w:p>
    <w:p>
      <w:pPr>
        <w:spacing w:line="440" w:lineRule="exact"/>
        <w:ind w:firstLine="420" w:firstLineChars="200"/>
        <w:jc w:val="left"/>
        <w:rPr>
          <w:rFonts w:hint="eastAsia" w:ascii="宋体" w:hAnsi="宋体" w:cs="宋体"/>
          <w:szCs w:val="21"/>
        </w:rPr>
      </w:pPr>
      <w:r>
        <w:rPr>
          <w:rFonts w:hint="eastAsia" w:ascii="宋体" w:hAnsi="宋体" w:cs="宋体"/>
          <w:szCs w:val="21"/>
        </w:rPr>
        <w:t>（2）诚信投标承诺书；</w:t>
      </w:r>
    </w:p>
    <w:p>
      <w:pPr>
        <w:spacing w:line="440" w:lineRule="exact"/>
        <w:ind w:firstLine="420" w:firstLineChars="200"/>
        <w:jc w:val="left"/>
        <w:rPr>
          <w:rFonts w:hint="eastAsia" w:ascii="宋体" w:hAnsi="宋体" w:cs="宋体"/>
          <w:szCs w:val="21"/>
        </w:rPr>
      </w:pPr>
      <w:r>
        <w:rPr>
          <w:rFonts w:hint="eastAsia" w:ascii="宋体" w:hAnsi="宋体" w:cs="宋体"/>
          <w:szCs w:val="21"/>
        </w:rPr>
        <w:t>（3）企业法人营业执照；</w:t>
      </w:r>
    </w:p>
    <w:p>
      <w:pPr>
        <w:spacing w:line="440" w:lineRule="exact"/>
        <w:ind w:firstLine="420" w:firstLineChars="200"/>
        <w:jc w:val="left"/>
        <w:rPr>
          <w:rFonts w:hint="default" w:ascii="宋体" w:hAnsi="宋体" w:eastAsia="宋体" w:cs="宋体"/>
          <w:szCs w:val="21"/>
          <w:lang w:val="en-US" w:eastAsia="zh-CN"/>
        </w:rPr>
      </w:pPr>
      <w:r>
        <w:rPr>
          <w:rFonts w:hint="eastAsia" w:ascii="宋体" w:hAnsi="宋体" w:cs="宋体"/>
          <w:szCs w:val="21"/>
        </w:rPr>
        <w:t>（4）</w:t>
      </w:r>
      <w:r>
        <w:rPr>
          <w:rFonts w:hint="eastAsia" w:ascii="宋体" w:hAnsi="宋体" w:cs="宋体"/>
          <w:color w:val="auto"/>
          <w:szCs w:val="21"/>
          <w:highlight w:val="none"/>
          <w:lang w:val="en-US" w:eastAsia="zh-CN"/>
        </w:rPr>
        <w:t>项目经理</w:t>
      </w:r>
      <w:r>
        <w:rPr>
          <w:rFonts w:hint="eastAsia" w:ascii="宋体" w:hAnsi="宋体" w:cs="宋体"/>
          <w:color w:val="auto"/>
          <w:szCs w:val="21"/>
          <w:highlight w:val="none"/>
        </w:rPr>
        <w:t>有效身份证</w:t>
      </w:r>
      <w:r>
        <w:rPr>
          <w:rFonts w:hint="eastAsia" w:ascii="宋体" w:hAnsi="宋体" w:cs="宋体"/>
          <w:color w:val="auto"/>
          <w:szCs w:val="21"/>
          <w:highlight w:val="none"/>
          <w:lang w:val="en-US" w:eastAsia="zh-CN"/>
        </w:rPr>
        <w:t>和职称证书【或</w:t>
      </w:r>
      <w:r>
        <w:rPr>
          <w:rFonts w:hint="eastAsia" w:ascii="宋体" w:hAnsi="宋体" w:cs="宋体"/>
          <w:color w:val="auto"/>
          <w:szCs w:val="21"/>
          <w:highlight w:val="none"/>
        </w:rPr>
        <w:t>注册证书以及安全生产考核合格证书（B证）</w:t>
      </w:r>
      <w:r>
        <w:rPr>
          <w:rFonts w:hint="eastAsia" w:ascii="宋体" w:hAnsi="宋体" w:cs="宋体"/>
          <w:color w:val="auto"/>
          <w:szCs w:val="21"/>
          <w:highlight w:val="none"/>
          <w:lang w:val="en-US" w:eastAsia="zh-CN"/>
        </w:rPr>
        <w:t>】</w:t>
      </w:r>
      <w:r>
        <w:rPr>
          <w:rFonts w:hint="eastAsia" w:ascii="宋体" w:hAnsi="宋体" w:cs="宋体"/>
          <w:szCs w:val="21"/>
          <w:lang w:val="en-US" w:eastAsia="zh-CN"/>
        </w:rPr>
        <w:t>；</w:t>
      </w:r>
    </w:p>
    <w:p>
      <w:pPr>
        <w:spacing w:line="44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szCs w:val="21"/>
          <w:lang w:eastAsia="zh-CN"/>
        </w:rPr>
        <w:t>（</w:t>
      </w:r>
      <w:r>
        <w:rPr>
          <w:rFonts w:hint="eastAsia" w:ascii="宋体" w:hAnsi="宋体" w:cs="宋体"/>
          <w:szCs w:val="21"/>
          <w:lang w:val="en-US" w:eastAsia="zh-CN"/>
        </w:rPr>
        <w:t>5</w:t>
      </w:r>
      <w:r>
        <w:rPr>
          <w:rFonts w:hint="eastAsia" w:ascii="宋体" w:hAnsi="宋体" w:cs="宋体"/>
          <w:szCs w:val="21"/>
          <w:lang w:eastAsia="zh-CN"/>
        </w:rPr>
        <w:t>）</w:t>
      </w:r>
      <w:r>
        <w:rPr>
          <w:rFonts w:hint="eastAsia" w:ascii="宋体" w:hAnsi="宋体" w:cs="宋体"/>
          <w:szCs w:val="21"/>
        </w:rPr>
        <w:t>投标人的法定代表人(或委托代理人)和拟任项目经理（建造师）须持有社保部门出具的本单位为其缴纳的投标前近三个月连续的养老保险证明（含官网在线打印件，证明文件两个月内有效）（同一人担任不同公司法定代表人的，该法定代表人参加本项目投标时须提供本人在其他公司任法定代表</w:t>
      </w:r>
      <w:r>
        <w:rPr>
          <w:rFonts w:hint="eastAsia" w:ascii="宋体" w:hAnsi="宋体" w:eastAsia="宋体" w:cs="宋体"/>
          <w:color w:val="auto"/>
          <w:szCs w:val="21"/>
          <w:highlight w:val="none"/>
          <w:lang w:val="en-US" w:eastAsia="zh-CN"/>
        </w:rPr>
        <w:t>人的营业执照及为其缴纳养老保险证明材料），投标人是事业单位的，暂未缴纳养老保险的，须由其主管部门出具证明；</w:t>
      </w:r>
    </w:p>
    <w:p>
      <w:pPr>
        <w:spacing w:line="44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投标人自2019年1月1日以来（以竣工验收时间为准），具备绿化（或园林或景观）工程施工业绩。【投标文件中同时提供以下证明材料：①合同协议书；②竣工验收证明文件（至少有建设单位、监理单位、施工单位三方参与竣工验收并盖单位章），且竣工验收证明文件须注明竣工验收日期。】</w:t>
      </w:r>
    </w:p>
    <w:p>
      <w:pPr>
        <w:spacing w:line="440" w:lineRule="exact"/>
        <w:ind w:firstLine="420" w:firstLineChars="200"/>
        <w:jc w:val="lef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7）资信标</w:t>
      </w:r>
      <w:r>
        <w:rPr>
          <w:rFonts w:hint="eastAsia" w:ascii="宋体" w:hAnsi="宋体" w:cs="宋体"/>
          <w:szCs w:val="21"/>
        </w:rPr>
        <w:t>投标人认为需要的其它证明材料。</w:t>
      </w:r>
    </w:p>
    <w:p>
      <w:pPr>
        <w:spacing w:line="360" w:lineRule="auto"/>
        <w:jc w:val="center"/>
        <w:rPr>
          <w:rFonts w:ascii="宋体"/>
          <w:b/>
          <w:sz w:val="28"/>
          <w:szCs w:val="28"/>
          <w:highlight w:val="none"/>
        </w:rPr>
      </w:pPr>
      <w:r>
        <w:rPr>
          <w:rFonts w:hint="eastAsia"/>
          <w:b/>
          <w:sz w:val="28"/>
          <w:szCs w:val="28"/>
          <w:highlight w:val="none"/>
        </w:rPr>
        <w:br w:type="page"/>
      </w:r>
      <w:r>
        <w:rPr>
          <w:rFonts w:hint="eastAsia"/>
          <w:b/>
          <w:sz w:val="28"/>
          <w:szCs w:val="28"/>
          <w:highlight w:val="none"/>
        </w:rPr>
        <w:t>（1）法定代表人身份证明或授权委托书</w:t>
      </w:r>
    </w:p>
    <w:p>
      <w:pPr>
        <w:pStyle w:val="75"/>
        <w:keepNext w:val="0"/>
        <w:keepLines w:val="0"/>
        <w:pageBreakBefore w:val="0"/>
        <w:kinsoku/>
        <w:wordWrap/>
        <w:overflowPunct/>
        <w:topLinePunct w:val="0"/>
        <w:autoSpaceDE/>
        <w:autoSpaceDN/>
        <w:bidi w:val="0"/>
        <w:adjustRightInd/>
        <w:snapToGrid/>
        <w:spacing w:beforeLines="100" w:afterLines="100" w:line="440" w:lineRule="exact"/>
        <w:rPr>
          <w:rFonts w:ascii="宋体"/>
          <w:b/>
          <w:color w:val="auto"/>
          <w:sz w:val="24"/>
          <w:szCs w:val="24"/>
          <w:highlight w:val="none"/>
        </w:rPr>
      </w:pPr>
      <w:bookmarkStart w:id="1228" w:name="_Toc26598"/>
      <w:bookmarkStart w:id="1229" w:name="_Toc506107356"/>
      <w:bookmarkStart w:id="1230" w:name="_Toc503196197"/>
      <w:r>
        <w:rPr>
          <w:rFonts w:hint="eastAsia" w:ascii="宋体"/>
          <w:color w:val="auto"/>
          <w:sz w:val="24"/>
          <w:szCs w:val="24"/>
          <w:highlight w:val="none"/>
        </w:rPr>
        <w:t>1、法定代表人身份证明</w:t>
      </w:r>
    </w:p>
    <w:p>
      <w:pPr>
        <w:keepNext w:val="0"/>
        <w:keepLines w:val="0"/>
        <w:pageBreakBefore w:val="0"/>
        <w:kinsoku/>
        <w:wordWrap/>
        <w:overflowPunct/>
        <w:topLinePunct w:val="0"/>
        <w:autoSpaceDE/>
        <w:autoSpaceDN/>
        <w:bidi w:val="0"/>
        <w:adjustRightInd/>
        <w:snapToGrid/>
        <w:spacing w:line="440" w:lineRule="exact"/>
        <w:rPr>
          <w:rFonts w:ascii="宋体"/>
          <w:sz w:val="24"/>
          <w:highlight w:val="none"/>
        </w:rPr>
      </w:pPr>
      <w:r>
        <w:rPr>
          <w:rFonts w:hint="eastAsia" w:ascii="宋体"/>
          <w:sz w:val="24"/>
          <w:highlight w:val="none"/>
        </w:rPr>
        <w:t>投标人名称：</w:t>
      </w:r>
      <w:r>
        <w:rPr>
          <w:rFonts w:hint="eastAsia" w:ascii="宋体"/>
          <w:sz w:val="24"/>
          <w:highlight w:val="none"/>
          <w:u w:val="single"/>
        </w:rPr>
        <w:t xml:space="preserve">                            </w:t>
      </w:r>
    </w:p>
    <w:p>
      <w:pPr>
        <w:keepNext w:val="0"/>
        <w:keepLines w:val="0"/>
        <w:pageBreakBefore w:val="0"/>
        <w:kinsoku/>
        <w:wordWrap/>
        <w:overflowPunct/>
        <w:topLinePunct w:val="0"/>
        <w:autoSpaceDE/>
        <w:autoSpaceDN/>
        <w:bidi w:val="0"/>
        <w:adjustRightInd/>
        <w:snapToGrid/>
        <w:spacing w:line="440" w:lineRule="exact"/>
        <w:rPr>
          <w:rFonts w:ascii="宋体"/>
          <w:sz w:val="24"/>
          <w:highlight w:val="none"/>
        </w:rPr>
      </w:pPr>
      <w:r>
        <w:rPr>
          <w:rFonts w:hint="eastAsia" w:ascii="宋体"/>
          <w:sz w:val="24"/>
          <w:highlight w:val="none"/>
        </w:rPr>
        <w:t>单位性质：</w:t>
      </w:r>
      <w:r>
        <w:rPr>
          <w:rFonts w:hint="eastAsia" w:ascii="宋体"/>
          <w:sz w:val="24"/>
          <w:highlight w:val="none"/>
          <w:u w:val="single"/>
        </w:rPr>
        <w:t xml:space="preserve">                              </w:t>
      </w:r>
    </w:p>
    <w:p>
      <w:pPr>
        <w:keepNext w:val="0"/>
        <w:keepLines w:val="0"/>
        <w:pageBreakBefore w:val="0"/>
        <w:kinsoku/>
        <w:wordWrap/>
        <w:overflowPunct/>
        <w:topLinePunct w:val="0"/>
        <w:autoSpaceDE/>
        <w:autoSpaceDN/>
        <w:bidi w:val="0"/>
        <w:adjustRightInd/>
        <w:snapToGrid/>
        <w:spacing w:line="440" w:lineRule="exact"/>
        <w:rPr>
          <w:rFonts w:ascii="宋体"/>
          <w:sz w:val="24"/>
          <w:highlight w:val="none"/>
        </w:rPr>
      </w:pPr>
      <w:r>
        <w:rPr>
          <w:rFonts w:hint="eastAsia" w:ascii="宋体"/>
          <w:sz w:val="24"/>
          <w:highlight w:val="none"/>
        </w:rPr>
        <w:t>地    址：</w:t>
      </w:r>
      <w:r>
        <w:rPr>
          <w:rFonts w:hint="eastAsia" w:ascii="宋体"/>
          <w:sz w:val="24"/>
          <w:highlight w:val="none"/>
          <w:u w:val="single"/>
        </w:rPr>
        <w:t xml:space="preserve">                              </w:t>
      </w:r>
    </w:p>
    <w:p>
      <w:pPr>
        <w:keepNext w:val="0"/>
        <w:keepLines w:val="0"/>
        <w:pageBreakBefore w:val="0"/>
        <w:kinsoku/>
        <w:wordWrap/>
        <w:overflowPunct/>
        <w:topLinePunct w:val="0"/>
        <w:autoSpaceDE/>
        <w:autoSpaceDN/>
        <w:bidi w:val="0"/>
        <w:adjustRightInd/>
        <w:snapToGrid/>
        <w:spacing w:line="440" w:lineRule="exact"/>
        <w:rPr>
          <w:rFonts w:ascii="宋体"/>
          <w:sz w:val="24"/>
          <w:highlight w:val="none"/>
        </w:rPr>
      </w:pPr>
      <w:r>
        <w:rPr>
          <w:rFonts w:hint="eastAsia" w:ascii="宋体"/>
          <w:sz w:val="24"/>
          <w:highlight w:val="none"/>
        </w:rPr>
        <w:t>成立时间：</w:t>
      </w:r>
      <w:r>
        <w:rPr>
          <w:rFonts w:hint="eastAsia" w:ascii="宋体"/>
          <w:sz w:val="24"/>
          <w:highlight w:val="none"/>
          <w:u w:val="single"/>
        </w:rPr>
        <w:t xml:space="preserve">     </w:t>
      </w:r>
      <w:r>
        <w:rPr>
          <w:rFonts w:hint="eastAsia" w:ascii="宋体"/>
          <w:sz w:val="24"/>
          <w:highlight w:val="none"/>
        </w:rPr>
        <w:t>年</w:t>
      </w:r>
      <w:r>
        <w:rPr>
          <w:rFonts w:hint="eastAsia" w:ascii="宋体"/>
          <w:sz w:val="24"/>
          <w:highlight w:val="none"/>
          <w:u w:val="single"/>
        </w:rPr>
        <w:t xml:space="preserve">   </w:t>
      </w:r>
      <w:r>
        <w:rPr>
          <w:rFonts w:hint="eastAsia" w:ascii="宋体"/>
          <w:sz w:val="24"/>
          <w:highlight w:val="none"/>
        </w:rPr>
        <w:t>月</w:t>
      </w:r>
      <w:r>
        <w:rPr>
          <w:rFonts w:hint="eastAsia" w:ascii="宋体"/>
          <w:sz w:val="24"/>
          <w:highlight w:val="none"/>
          <w:u w:val="single"/>
        </w:rPr>
        <w:t xml:space="preserve">   </w:t>
      </w:r>
      <w:r>
        <w:rPr>
          <w:rFonts w:hint="eastAsia" w:ascii="宋体"/>
          <w:sz w:val="24"/>
          <w:highlight w:val="none"/>
        </w:rPr>
        <w:t>日</w:t>
      </w:r>
    </w:p>
    <w:p>
      <w:pPr>
        <w:keepNext w:val="0"/>
        <w:keepLines w:val="0"/>
        <w:pageBreakBefore w:val="0"/>
        <w:kinsoku/>
        <w:wordWrap/>
        <w:overflowPunct/>
        <w:topLinePunct w:val="0"/>
        <w:autoSpaceDE/>
        <w:autoSpaceDN/>
        <w:bidi w:val="0"/>
        <w:adjustRightInd/>
        <w:snapToGrid/>
        <w:spacing w:line="440" w:lineRule="exact"/>
        <w:rPr>
          <w:rFonts w:ascii="宋体"/>
          <w:sz w:val="24"/>
          <w:highlight w:val="none"/>
        </w:rPr>
      </w:pPr>
      <w:r>
        <w:rPr>
          <w:rFonts w:hint="eastAsia" w:ascii="宋体"/>
          <w:sz w:val="24"/>
          <w:highlight w:val="none"/>
        </w:rPr>
        <w:t>经营期限：</w:t>
      </w:r>
      <w:r>
        <w:rPr>
          <w:rFonts w:hint="eastAsia" w:ascii="宋体"/>
          <w:sz w:val="24"/>
          <w:highlight w:val="none"/>
          <w:u w:val="single"/>
        </w:rPr>
        <w:t xml:space="preserve">                              </w:t>
      </w:r>
    </w:p>
    <w:p>
      <w:pPr>
        <w:keepNext w:val="0"/>
        <w:keepLines w:val="0"/>
        <w:pageBreakBefore w:val="0"/>
        <w:kinsoku/>
        <w:wordWrap/>
        <w:overflowPunct/>
        <w:topLinePunct w:val="0"/>
        <w:autoSpaceDE/>
        <w:autoSpaceDN/>
        <w:bidi w:val="0"/>
        <w:adjustRightInd/>
        <w:snapToGrid/>
        <w:spacing w:line="440" w:lineRule="exact"/>
        <w:jc w:val="left"/>
        <w:rPr>
          <w:rFonts w:ascii="宋体"/>
          <w:sz w:val="24"/>
          <w:highlight w:val="none"/>
          <w:u w:val="single"/>
        </w:rPr>
      </w:pPr>
      <w:r>
        <w:rPr>
          <w:rFonts w:hint="eastAsia" w:ascii="宋体"/>
          <w:spacing w:val="240"/>
          <w:sz w:val="24"/>
          <w:highlight w:val="none"/>
        </w:rPr>
        <w:t>姓</w:t>
      </w:r>
      <w:r>
        <w:rPr>
          <w:rFonts w:hint="eastAsia" w:ascii="宋体"/>
          <w:sz w:val="24"/>
          <w:highlight w:val="none"/>
        </w:rPr>
        <w:t>名：</w:t>
      </w:r>
      <w:r>
        <w:rPr>
          <w:rFonts w:hint="eastAsia" w:ascii="宋体"/>
          <w:sz w:val="24"/>
          <w:highlight w:val="none"/>
          <w:u w:val="single"/>
        </w:rPr>
        <w:t xml:space="preserve">     </w:t>
      </w:r>
      <w:r>
        <w:rPr>
          <w:rFonts w:hint="eastAsia" w:ascii="宋体"/>
          <w:sz w:val="24"/>
          <w:highlight w:val="none"/>
        </w:rPr>
        <w:t>身份证号码：</w:t>
      </w:r>
      <w:r>
        <w:rPr>
          <w:rFonts w:hint="eastAsia" w:ascii="宋体"/>
          <w:sz w:val="24"/>
          <w:highlight w:val="none"/>
          <w:u w:val="single"/>
        </w:rPr>
        <w:t xml:space="preserve">     </w:t>
      </w:r>
      <w:r>
        <w:rPr>
          <w:rFonts w:hint="eastAsia" w:ascii="宋体"/>
          <w:sz w:val="24"/>
          <w:highlight w:val="none"/>
        </w:rPr>
        <w:t>性别</w:t>
      </w:r>
      <w:r>
        <w:rPr>
          <w:rFonts w:hint="eastAsia" w:ascii="宋体"/>
          <w:sz w:val="24"/>
          <w:highlight w:val="none"/>
          <w:u w:val="single"/>
        </w:rPr>
        <w:t xml:space="preserve">：    </w:t>
      </w:r>
      <w:r>
        <w:rPr>
          <w:rFonts w:hint="eastAsia" w:ascii="宋体"/>
          <w:sz w:val="24"/>
          <w:highlight w:val="none"/>
        </w:rPr>
        <w:t>年龄：</w:t>
      </w:r>
      <w:r>
        <w:rPr>
          <w:rFonts w:hint="eastAsia" w:ascii="宋体"/>
          <w:sz w:val="24"/>
          <w:highlight w:val="none"/>
          <w:u w:val="single"/>
        </w:rPr>
        <w:t xml:space="preserve">＿  </w:t>
      </w:r>
      <w:r>
        <w:rPr>
          <w:rFonts w:hint="eastAsia" w:ascii="宋体"/>
          <w:sz w:val="24"/>
          <w:highlight w:val="none"/>
        </w:rPr>
        <w:t>职务：</w:t>
      </w:r>
      <w:r>
        <w:rPr>
          <w:rFonts w:hint="eastAsia" w:ascii="宋体"/>
          <w:sz w:val="24"/>
          <w:highlight w:val="none"/>
          <w:u w:val="single"/>
        </w:rPr>
        <w:t xml:space="preserve">     </w:t>
      </w:r>
      <w:r>
        <w:rPr>
          <w:rFonts w:hint="eastAsia" w:ascii="宋体"/>
          <w:sz w:val="24"/>
          <w:highlight w:val="none"/>
        </w:rPr>
        <w:t>，系</w:t>
      </w:r>
      <w:r>
        <w:rPr>
          <w:rFonts w:hint="eastAsia" w:ascii="宋体"/>
          <w:sz w:val="24"/>
          <w:highlight w:val="none"/>
          <w:u w:val="single"/>
        </w:rPr>
        <w:t xml:space="preserve">     （投标人名称）</w:t>
      </w:r>
      <w:r>
        <w:rPr>
          <w:rFonts w:hint="eastAsia" w:ascii="宋体"/>
          <w:sz w:val="24"/>
          <w:highlight w:val="none"/>
        </w:rPr>
        <w:t>的法定代表人。</w:t>
      </w:r>
    </w:p>
    <w:p>
      <w:pPr>
        <w:keepNext w:val="0"/>
        <w:keepLines w:val="0"/>
        <w:pageBreakBefore w:val="0"/>
        <w:kinsoku/>
        <w:wordWrap/>
        <w:overflowPunct/>
        <w:topLinePunct w:val="0"/>
        <w:autoSpaceDE/>
        <w:autoSpaceDN/>
        <w:bidi w:val="0"/>
        <w:adjustRightInd/>
        <w:snapToGrid/>
        <w:spacing w:line="440" w:lineRule="exact"/>
        <w:rPr>
          <w:rFonts w:ascii="宋体"/>
          <w:sz w:val="24"/>
          <w:highlight w:val="none"/>
        </w:rPr>
      </w:pPr>
      <w:r>
        <w:rPr>
          <w:rFonts w:hint="eastAsia" w:ascii="宋体"/>
          <w:sz w:val="24"/>
          <w:highlight w:val="none"/>
        </w:rPr>
        <w:t>特此证明。</w:t>
      </w:r>
    </w:p>
    <w:p>
      <w:pPr>
        <w:keepNext w:val="0"/>
        <w:keepLines w:val="0"/>
        <w:pageBreakBefore w:val="0"/>
        <w:kinsoku/>
        <w:wordWrap/>
        <w:overflowPunct/>
        <w:topLinePunct w:val="0"/>
        <w:autoSpaceDE/>
        <w:autoSpaceDN/>
        <w:bidi w:val="0"/>
        <w:adjustRightInd/>
        <w:snapToGrid/>
        <w:spacing w:line="440" w:lineRule="exact"/>
        <w:ind w:firstLine="3720" w:firstLineChars="1550"/>
        <w:rPr>
          <w:rFonts w:ascii="宋体"/>
          <w:sz w:val="24"/>
          <w:highlight w:val="none"/>
        </w:rPr>
      </w:pPr>
      <w:r>
        <w:rPr>
          <w:rFonts w:hint="eastAsia" w:ascii="宋体"/>
          <w:sz w:val="24"/>
          <w:highlight w:val="none"/>
        </w:rPr>
        <w:t>投标人：</w:t>
      </w:r>
      <w:r>
        <w:rPr>
          <w:rFonts w:hint="eastAsia" w:ascii="宋体"/>
          <w:sz w:val="24"/>
          <w:highlight w:val="none"/>
          <w:u w:val="single"/>
        </w:rPr>
        <w:t xml:space="preserve">            （</w:t>
      </w:r>
      <w:r>
        <w:rPr>
          <w:rFonts w:hint="eastAsia" w:ascii="宋体"/>
          <w:sz w:val="24"/>
          <w:highlight w:val="none"/>
          <w:u w:val="single"/>
          <w:lang w:val="en-US" w:eastAsia="zh-CN"/>
        </w:rPr>
        <w:t>盖</w:t>
      </w:r>
      <w:r>
        <w:rPr>
          <w:rFonts w:hint="eastAsia" w:ascii="宋体"/>
          <w:sz w:val="24"/>
          <w:highlight w:val="none"/>
          <w:u w:val="single"/>
        </w:rPr>
        <w:t>章）</w:t>
      </w:r>
    </w:p>
    <w:p>
      <w:pPr>
        <w:keepNext w:val="0"/>
        <w:keepLines w:val="0"/>
        <w:pageBreakBefore w:val="0"/>
        <w:kinsoku/>
        <w:wordWrap/>
        <w:overflowPunct/>
        <w:topLinePunct w:val="0"/>
        <w:autoSpaceDE/>
        <w:autoSpaceDN/>
        <w:bidi w:val="0"/>
        <w:adjustRightInd/>
        <w:snapToGrid/>
        <w:spacing w:line="440" w:lineRule="exact"/>
        <w:rPr>
          <w:rFonts w:ascii="宋体"/>
          <w:sz w:val="24"/>
          <w:highlight w:val="none"/>
        </w:rPr>
      </w:pPr>
      <w:r>
        <w:rPr>
          <w:rFonts w:hint="eastAsia" w:ascii="宋体"/>
          <w:sz w:val="24"/>
          <w:highlight w:val="none"/>
        </w:rPr>
        <w:t xml:space="preserve">                                        年    月     日</w:t>
      </w:r>
    </w:p>
    <w:p>
      <w:pPr>
        <w:keepNext w:val="0"/>
        <w:keepLines w:val="0"/>
        <w:pageBreakBefore w:val="0"/>
        <w:kinsoku/>
        <w:wordWrap/>
        <w:overflowPunct/>
        <w:topLinePunct w:val="0"/>
        <w:autoSpaceDE/>
        <w:autoSpaceDN/>
        <w:bidi w:val="0"/>
        <w:adjustRightInd/>
        <w:snapToGrid/>
        <w:spacing w:line="440" w:lineRule="exact"/>
        <w:rPr>
          <w:highlight w:val="none"/>
        </w:rPr>
      </w:pPr>
    </w:p>
    <w:p>
      <w:pPr>
        <w:pStyle w:val="75"/>
        <w:keepNext w:val="0"/>
        <w:keepLines w:val="0"/>
        <w:pageBreakBefore w:val="0"/>
        <w:kinsoku/>
        <w:wordWrap/>
        <w:overflowPunct/>
        <w:topLinePunct w:val="0"/>
        <w:autoSpaceDE/>
        <w:autoSpaceDN/>
        <w:bidi w:val="0"/>
        <w:adjustRightInd/>
        <w:snapToGrid/>
        <w:spacing w:beforeLines="100" w:afterLines="100" w:line="440" w:lineRule="exact"/>
        <w:rPr>
          <w:rFonts w:ascii="宋体"/>
          <w:color w:val="auto"/>
          <w:sz w:val="24"/>
          <w:szCs w:val="24"/>
          <w:highlight w:val="none"/>
        </w:rPr>
      </w:pPr>
      <w:r>
        <w:rPr>
          <w:rFonts w:hint="eastAsia" w:ascii="宋体"/>
          <w:color w:val="auto"/>
          <w:sz w:val="24"/>
          <w:szCs w:val="24"/>
          <w:highlight w:val="none"/>
        </w:rPr>
        <w:t>或1、授权委托书</w:t>
      </w:r>
    </w:p>
    <w:p>
      <w:pPr>
        <w:keepNext w:val="0"/>
        <w:keepLines w:val="0"/>
        <w:pageBreakBefore w:val="0"/>
        <w:kinsoku/>
        <w:wordWrap/>
        <w:overflowPunct/>
        <w:topLinePunct w:val="0"/>
        <w:autoSpaceDE/>
        <w:autoSpaceDN/>
        <w:bidi w:val="0"/>
        <w:adjustRightInd/>
        <w:snapToGrid/>
        <w:spacing w:line="440" w:lineRule="exact"/>
        <w:ind w:firstLine="480" w:firstLineChars="200"/>
        <w:jc w:val="left"/>
        <w:rPr>
          <w:rFonts w:ascii="宋体"/>
          <w:sz w:val="24"/>
          <w:highlight w:val="none"/>
        </w:rPr>
      </w:pPr>
      <w:r>
        <w:rPr>
          <w:rFonts w:hint="eastAsia" w:ascii="宋体"/>
          <w:sz w:val="24"/>
          <w:highlight w:val="none"/>
        </w:rPr>
        <w:t>本人</w:t>
      </w:r>
      <w:r>
        <w:rPr>
          <w:rFonts w:hint="eastAsia" w:ascii="宋体"/>
          <w:sz w:val="24"/>
          <w:highlight w:val="none"/>
          <w:u w:val="single"/>
        </w:rPr>
        <w:t xml:space="preserve"> （姓名）</w:t>
      </w:r>
      <w:r>
        <w:rPr>
          <w:rFonts w:hint="eastAsia" w:ascii="宋体"/>
          <w:sz w:val="24"/>
          <w:highlight w:val="none"/>
        </w:rPr>
        <w:t>系</w:t>
      </w:r>
      <w:r>
        <w:rPr>
          <w:rFonts w:hint="eastAsia" w:ascii="宋体"/>
          <w:sz w:val="24"/>
          <w:highlight w:val="none"/>
          <w:u w:val="single"/>
        </w:rPr>
        <w:t>（投标人）</w:t>
      </w:r>
      <w:r>
        <w:rPr>
          <w:rFonts w:hint="eastAsia" w:ascii="宋体"/>
          <w:sz w:val="24"/>
          <w:highlight w:val="none"/>
        </w:rPr>
        <w:t>的法定代表人，现委托</w:t>
      </w:r>
      <w:r>
        <w:rPr>
          <w:rFonts w:hint="eastAsia" w:ascii="宋体"/>
          <w:sz w:val="24"/>
          <w:highlight w:val="none"/>
          <w:u w:val="single"/>
        </w:rPr>
        <w:t>（姓名）</w:t>
      </w:r>
      <w:r>
        <w:rPr>
          <w:rFonts w:hint="eastAsia" w:ascii="宋体"/>
          <w:sz w:val="24"/>
          <w:highlight w:val="none"/>
        </w:rPr>
        <w:t>为我方代理人。代理人根据授权，以我方名义签署、澄清、说明、补正、递交、撤回、修改</w:t>
      </w:r>
      <w:r>
        <w:rPr>
          <w:rFonts w:hint="eastAsia" w:ascii="宋体"/>
          <w:sz w:val="24"/>
          <w:highlight w:val="none"/>
          <w:u w:val="single"/>
        </w:rPr>
        <w:t xml:space="preserve"> “   ”(项目名称）</w:t>
      </w:r>
      <w:r>
        <w:rPr>
          <w:rFonts w:hint="eastAsia" w:ascii="宋体"/>
          <w:sz w:val="24"/>
          <w:highlight w:val="none"/>
        </w:rPr>
        <w:t>投标文件，全权处理与该项目投标、评审答疑、签订合同以及与合同执行有关的一切事务，其法律后果由我方承担。</w:t>
      </w:r>
    </w:p>
    <w:p>
      <w:pPr>
        <w:keepNext w:val="0"/>
        <w:keepLines w:val="0"/>
        <w:pageBreakBefore w:val="0"/>
        <w:kinsoku/>
        <w:wordWrap/>
        <w:overflowPunct/>
        <w:topLinePunct w:val="0"/>
        <w:autoSpaceDE/>
        <w:autoSpaceDN/>
        <w:bidi w:val="0"/>
        <w:adjustRightInd/>
        <w:snapToGrid/>
        <w:spacing w:line="440" w:lineRule="exact"/>
        <w:ind w:firstLine="480" w:firstLineChars="200"/>
        <w:rPr>
          <w:rFonts w:ascii="宋体"/>
          <w:sz w:val="24"/>
          <w:highlight w:val="none"/>
        </w:rPr>
      </w:pPr>
      <w:r>
        <w:rPr>
          <w:rFonts w:hint="eastAsia" w:ascii="宋体"/>
          <w:sz w:val="24"/>
          <w:highlight w:val="none"/>
        </w:rPr>
        <w:t>委托期限：</w:t>
      </w:r>
      <w:r>
        <w:rPr>
          <w:rFonts w:hint="eastAsia" w:ascii="宋体"/>
          <w:sz w:val="24"/>
          <w:highlight w:val="none"/>
          <w:u w:val="single"/>
          <w:lang w:val="en-US" w:eastAsia="zh-CN"/>
        </w:rPr>
        <w:t xml:space="preserve">              </w:t>
      </w:r>
      <w:r>
        <w:rPr>
          <w:rFonts w:hint="eastAsia" w:ascii="宋体" w:cs="宋体"/>
          <w:sz w:val="24"/>
          <w:highlight w:val="none"/>
        </w:rPr>
        <w:t>。</w:t>
      </w:r>
    </w:p>
    <w:p>
      <w:pPr>
        <w:keepNext w:val="0"/>
        <w:keepLines w:val="0"/>
        <w:pageBreakBefore w:val="0"/>
        <w:kinsoku/>
        <w:wordWrap/>
        <w:overflowPunct/>
        <w:topLinePunct w:val="0"/>
        <w:autoSpaceDE/>
        <w:autoSpaceDN/>
        <w:bidi w:val="0"/>
        <w:adjustRightInd/>
        <w:snapToGrid/>
        <w:spacing w:line="440" w:lineRule="exact"/>
        <w:ind w:firstLine="480" w:firstLineChars="200"/>
        <w:rPr>
          <w:rFonts w:ascii="宋体"/>
          <w:sz w:val="24"/>
          <w:highlight w:val="none"/>
        </w:rPr>
      </w:pPr>
      <w:r>
        <w:rPr>
          <w:rFonts w:hint="eastAsia" w:ascii="宋体"/>
          <w:sz w:val="24"/>
          <w:highlight w:val="none"/>
        </w:rPr>
        <w:t>代理人无转委托权。</w:t>
      </w:r>
    </w:p>
    <w:p>
      <w:pPr>
        <w:keepNext w:val="0"/>
        <w:keepLines w:val="0"/>
        <w:pageBreakBefore w:val="0"/>
        <w:kinsoku/>
        <w:wordWrap/>
        <w:overflowPunct/>
        <w:topLinePunct w:val="0"/>
        <w:autoSpaceDE/>
        <w:autoSpaceDN/>
        <w:bidi w:val="0"/>
        <w:adjustRightInd/>
        <w:snapToGrid/>
        <w:spacing w:line="440" w:lineRule="exact"/>
        <w:ind w:firstLine="480" w:firstLineChars="200"/>
        <w:rPr>
          <w:rFonts w:ascii="宋体"/>
          <w:b/>
          <w:sz w:val="24"/>
          <w:highlight w:val="none"/>
        </w:rPr>
      </w:pPr>
      <w:r>
        <w:rPr>
          <w:rFonts w:hint="eastAsia" w:ascii="宋体"/>
          <w:sz w:val="24"/>
          <w:highlight w:val="none"/>
        </w:rPr>
        <w:t>附：</w:t>
      </w:r>
      <w:r>
        <w:rPr>
          <w:rFonts w:hint="eastAsia" w:ascii="宋体"/>
          <w:b/>
          <w:sz w:val="24"/>
          <w:highlight w:val="none"/>
        </w:rPr>
        <w:t>委托代理人有效身份证扫描件</w:t>
      </w:r>
    </w:p>
    <w:p>
      <w:pPr>
        <w:keepNext w:val="0"/>
        <w:keepLines w:val="0"/>
        <w:pageBreakBefore w:val="0"/>
        <w:kinsoku/>
        <w:wordWrap/>
        <w:overflowPunct/>
        <w:topLinePunct w:val="0"/>
        <w:autoSpaceDE/>
        <w:autoSpaceDN/>
        <w:bidi w:val="0"/>
        <w:adjustRightInd/>
        <w:snapToGrid/>
        <w:spacing w:line="440" w:lineRule="exact"/>
        <w:ind w:firstLine="964" w:firstLineChars="400"/>
        <w:rPr>
          <w:rFonts w:ascii="宋体"/>
          <w:b/>
          <w:sz w:val="24"/>
          <w:highlight w:val="none"/>
        </w:rPr>
      </w:pPr>
      <w:r>
        <w:rPr>
          <w:rFonts w:hint="eastAsia" w:ascii="宋体"/>
          <w:b/>
          <w:sz w:val="24"/>
          <w:highlight w:val="none"/>
        </w:rPr>
        <w:t>法定代表人有效身份证扫描件</w:t>
      </w:r>
    </w:p>
    <w:p>
      <w:pPr>
        <w:keepNext w:val="0"/>
        <w:keepLines w:val="0"/>
        <w:pageBreakBefore w:val="0"/>
        <w:kinsoku/>
        <w:wordWrap/>
        <w:overflowPunct/>
        <w:topLinePunct w:val="0"/>
        <w:autoSpaceDE/>
        <w:autoSpaceDN/>
        <w:bidi w:val="0"/>
        <w:adjustRightInd/>
        <w:snapToGrid/>
        <w:spacing w:line="440" w:lineRule="exact"/>
        <w:ind w:firstLine="833" w:firstLineChars="397"/>
        <w:rPr>
          <w:highlight w:val="none"/>
        </w:rPr>
      </w:pPr>
    </w:p>
    <w:p>
      <w:pPr>
        <w:keepNext w:val="0"/>
        <w:keepLines w:val="0"/>
        <w:pageBreakBefore w:val="0"/>
        <w:kinsoku/>
        <w:wordWrap/>
        <w:overflowPunct/>
        <w:topLinePunct w:val="0"/>
        <w:autoSpaceDE/>
        <w:autoSpaceDN/>
        <w:bidi w:val="0"/>
        <w:adjustRightInd/>
        <w:snapToGrid/>
        <w:spacing w:line="440" w:lineRule="exact"/>
        <w:ind w:firstLine="3720" w:firstLineChars="1550"/>
        <w:rPr>
          <w:rFonts w:hint="eastAsia" w:ascii="宋体" w:hAnsi="Times New Roman" w:eastAsia="宋体" w:cs="Times New Roman"/>
          <w:sz w:val="24"/>
          <w:highlight w:val="none"/>
        </w:rPr>
      </w:pPr>
      <w:r>
        <w:rPr>
          <w:rFonts w:hint="eastAsia" w:ascii="宋体" w:hAnsi="Times New Roman" w:eastAsia="宋体" w:cs="Times New Roman"/>
          <w:sz w:val="24"/>
          <w:highlight w:val="none"/>
        </w:rPr>
        <w:t xml:space="preserve"> 投标人（盖章）：</w:t>
      </w:r>
    </w:p>
    <w:p>
      <w:pPr>
        <w:keepNext w:val="0"/>
        <w:keepLines w:val="0"/>
        <w:pageBreakBefore w:val="0"/>
        <w:kinsoku/>
        <w:wordWrap/>
        <w:overflowPunct/>
        <w:topLinePunct w:val="0"/>
        <w:autoSpaceDE/>
        <w:autoSpaceDN/>
        <w:bidi w:val="0"/>
        <w:adjustRightInd/>
        <w:snapToGrid/>
        <w:spacing w:line="440" w:lineRule="exact"/>
        <w:ind w:firstLine="3720" w:firstLineChars="1550"/>
        <w:rPr>
          <w:rFonts w:hint="eastAsia" w:ascii="宋体" w:hAnsi="Times New Roman" w:eastAsia="宋体" w:cs="Times New Roman"/>
          <w:sz w:val="24"/>
          <w:highlight w:val="none"/>
        </w:rPr>
      </w:pPr>
      <w:r>
        <w:rPr>
          <w:rFonts w:hint="eastAsia" w:ascii="宋体" w:hAnsi="Times New Roman" w:eastAsia="宋体" w:cs="Times New Roman"/>
          <w:sz w:val="24"/>
          <w:highlight w:val="none"/>
        </w:rPr>
        <w:t>法定代表人（身份证号码）：    （签字或盖章）</w:t>
      </w:r>
    </w:p>
    <w:p>
      <w:pPr>
        <w:keepNext w:val="0"/>
        <w:keepLines w:val="0"/>
        <w:pageBreakBefore w:val="0"/>
        <w:kinsoku/>
        <w:wordWrap/>
        <w:overflowPunct/>
        <w:topLinePunct w:val="0"/>
        <w:autoSpaceDE/>
        <w:autoSpaceDN/>
        <w:bidi w:val="0"/>
        <w:adjustRightInd/>
        <w:snapToGrid/>
        <w:spacing w:line="440" w:lineRule="exact"/>
        <w:ind w:firstLine="3720" w:firstLineChars="1550"/>
        <w:rPr>
          <w:rFonts w:hint="eastAsia" w:ascii="宋体" w:hAnsi="Times New Roman" w:eastAsia="宋体" w:cs="Times New Roman"/>
          <w:sz w:val="24"/>
          <w:highlight w:val="none"/>
        </w:rPr>
      </w:pPr>
      <w:r>
        <w:rPr>
          <w:rFonts w:hint="eastAsia" w:ascii="宋体" w:hAnsi="Times New Roman" w:eastAsia="宋体" w:cs="Times New Roman"/>
          <w:sz w:val="24"/>
          <w:highlight w:val="none"/>
        </w:rPr>
        <w:t>委托代理人（身份证号码）：    （签字或盖章）</w:t>
      </w:r>
    </w:p>
    <w:p>
      <w:pPr>
        <w:keepNext w:val="0"/>
        <w:keepLines w:val="0"/>
        <w:pageBreakBefore w:val="0"/>
        <w:kinsoku/>
        <w:wordWrap/>
        <w:overflowPunct/>
        <w:topLinePunct w:val="0"/>
        <w:autoSpaceDE/>
        <w:autoSpaceDN/>
        <w:bidi w:val="0"/>
        <w:adjustRightInd/>
        <w:snapToGrid/>
        <w:spacing w:line="440" w:lineRule="exact"/>
        <w:ind w:firstLine="5040" w:firstLineChars="2100"/>
        <w:rPr>
          <w:rFonts w:ascii="宋体"/>
          <w:sz w:val="24"/>
          <w:highlight w:val="none"/>
        </w:rPr>
      </w:pPr>
      <w:r>
        <w:rPr>
          <w:rFonts w:hint="eastAsia" w:ascii="宋体"/>
          <w:sz w:val="24"/>
          <w:highlight w:val="none"/>
        </w:rPr>
        <w:t xml:space="preserve">   </w:t>
      </w:r>
    </w:p>
    <w:p>
      <w:pPr>
        <w:keepNext w:val="0"/>
        <w:keepLines w:val="0"/>
        <w:pageBreakBefore w:val="0"/>
        <w:kinsoku/>
        <w:wordWrap/>
        <w:overflowPunct/>
        <w:topLinePunct w:val="0"/>
        <w:autoSpaceDE/>
        <w:autoSpaceDN/>
        <w:bidi w:val="0"/>
        <w:adjustRightInd/>
        <w:snapToGrid/>
        <w:spacing w:line="440" w:lineRule="exact"/>
        <w:ind w:firstLine="5700" w:firstLineChars="2375"/>
        <w:rPr>
          <w:rFonts w:ascii="宋体"/>
          <w:sz w:val="24"/>
          <w:highlight w:val="none"/>
        </w:rPr>
      </w:pPr>
      <w:r>
        <w:rPr>
          <w:rFonts w:hint="eastAsia" w:ascii="宋体"/>
          <w:sz w:val="24"/>
          <w:highlight w:val="none"/>
        </w:rPr>
        <w:t>年    月    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sz w:val="28"/>
          <w:szCs w:val="28"/>
          <w:highlight w:val="none"/>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b/>
          <w:sz w:val="28"/>
          <w:szCs w:val="28"/>
          <w:highlight w:val="none"/>
        </w:rPr>
      </w:pPr>
      <w:r>
        <w:rPr>
          <w:rFonts w:hint="eastAsia"/>
          <w:b/>
          <w:sz w:val="28"/>
          <w:szCs w:val="28"/>
          <w:highlight w:val="none"/>
        </w:rPr>
        <w:t>（2）诚信投标承诺书</w:t>
      </w:r>
      <w:bookmarkEnd w:id="1228"/>
      <w:bookmarkEnd w:id="1229"/>
      <w:bookmarkEnd w:id="1230"/>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Cs w:val="21"/>
          <w:highlight w:val="none"/>
        </w:rPr>
      </w:pPr>
      <w:r>
        <w:rPr>
          <w:rFonts w:hint="eastAsia" w:ascii="宋体" w:hAnsi="宋体"/>
          <w:szCs w:val="21"/>
          <w:highlight w:val="none"/>
        </w:rPr>
        <w:t>本人以企业法定代表人的身份郑重承诺：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一、将遵循公开、公正和诚实信用的原则自愿参加</w:t>
      </w:r>
      <w:r>
        <w:rPr>
          <w:rFonts w:hint="eastAsia" w:ascii="宋体" w:hAnsi="宋体"/>
          <w:szCs w:val="21"/>
          <w:highlight w:val="none"/>
          <w:u w:val="single"/>
        </w:rPr>
        <w:t xml:space="preserve">       （项目名称）        </w:t>
      </w:r>
      <w:r>
        <w:rPr>
          <w:rFonts w:hint="eastAsia" w:ascii="宋体" w:hAnsi="宋体"/>
          <w:szCs w:val="21"/>
          <w:highlight w:val="none"/>
        </w:rPr>
        <w:t>项目的投标；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二、所提供的一切材料都是真实、有效、合法的；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三、不出借、转让资质证书，不让他人挂靠投标，不以他人名义投标或者以其他方式弄虚作假，骗取中标；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四、不与其他投标人相互串通投标报价，不排挤其他投标人的公平竞争、损害招标人的合法权益；</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五、不与招标人、招标代理机构或其他投标人串通投标，损害国家利益、社会公共利益或者他人的合法权益；</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olor w:val="auto"/>
          <w:szCs w:val="21"/>
          <w:highlight w:val="none"/>
        </w:rPr>
      </w:pPr>
      <w:r>
        <w:rPr>
          <w:rFonts w:hint="eastAsia" w:ascii="宋体" w:hAnsi="宋体"/>
          <w:szCs w:val="21"/>
          <w:highlight w:val="none"/>
        </w:rPr>
        <w:t>六、</w:t>
      </w:r>
      <w:r>
        <w:rPr>
          <w:rFonts w:hint="eastAsia" w:ascii="宋体" w:hAnsi="宋体"/>
          <w:color w:val="000000"/>
          <w:szCs w:val="21"/>
          <w:u w:val="single"/>
          <w:lang w:val="en-US" w:eastAsia="zh-CN"/>
        </w:rPr>
        <w:t>我公司</w:t>
      </w:r>
      <w:r>
        <w:rPr>
          <w:rFonts w:hint="eastAsia" w:ascii="宋体" w:hAnsi="宋体"/>
          <w:color w:val="000000"/>
          <w:szCs w:val="21"/>
        </w:rPr>
        <w:t>没有下列情形：</w:t>
      </w:r>
      <w:r>
        <w:rPr>
          <w:rFonts w:hint="eastAsia" w:ascii="宋体" w:hAnsi="宋体"/>
          <w:color w:val="auto"/>
          <w:szCs w:val="21"/>
          <w:highlight w:val="none"/>
        </w:rPr>
        <w:t>1、被人民法院列入失信被执行人的；2、我公司及其法定代表人、拟任项目经理（建造师）前三年有行贿犯罪行为的；3、被市场监督管理部门列入经营异常名录或者严重违法企业名单的，且未被移除的；4、被税务部门列入重大税收违法案件当事人的；5、在“信用中国”网站上披露仍在公示期的严重失信行为的；6、被滁州市县两级各行业主管部门及公管部门取消在一定期限内的投标资格且在取消期限内的；7、被人力资源社会保障主管部门列入拖欠农民工工资‘黑名单’或因拖欠农民工工资被县级及以上有关行政主管部门限制投标资格且在限制期限内的；8、</w:t>
      </w:r>
      <w:r>
        <w:rPr>
          <w:rFonts w:hint="eastAsia"/>
          <w:color w:val="auto"/>
          <w:szCs w:val="21"/>
          <w:highlight w:val="none"/>
        </w:rPr>
        <w:t>被列入省级、市级农民工工资支付异常名录的施工企业，限制其参加</w:t>
      </w:r>
      <w:r>
        <w:rPr>
          <w:rFonts w:hint="eastAsia"/>
          <w:color w:val="auto"/>
          <w:szCs w:val="21"/>
          <w:highlight w:val="none"/>
          <w:lang w:val="en-US" w:eastAsia="zh-CN"/>
        </w:rPr>
        <w:t>本</w:t>
      </w:r>
      <w:r>
        <w:rPr>
          <w:rFonts w:hint="eastAsia"/>
          <w:color w:val="auto"/>
          <w:szCs w:val="21"/>
          <w:highlight w:val="none"/>
        </w:rPr>
        <w:t>项目投标；列入县级异常名录的施工企业，限制其参加</w:t>
      </w:r>
      <w:r>
        <w:rPr>
          <w:rFonts w:hint="eastAsia"/>
          <w:color w:val="auto"/>
          <w:szCs w:val="21"/>
          <w:highlight w:val="none"/>
          <w:lang w:val="en-US" w:eastAsia="zh-CN"/>
        </w:rPr>
        <w:t>本</w:t>
      </w:r>
      <w:r>
        <w:rPr>
          <w:rFonts w:hint="eastAsia"/>
          <w:color w:val="auto"/>
          <w:szCs w:val="21"/>
          <w:highlight w:val="none"/>
        </w:rPr>
        <w:t>项目投标。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七、严格遵守开标现场纪律，服从监管人员管理；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八、保证中标后不转包及使用挂靠施工队伍，若有分包征得建设单位同意；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九、保证中标之后，按照投标文件承诺派驻管理人员及投入机械设备，如有违反，同意接受建设单位违约处罚；</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十、保证企业及所属相关人员在本次投标中无行贿等犯罪行为；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十</w:t>
      </w:r>
      <w:r>
        <w:rPr>
          <w:rFonts w:hint="eastAsia" w:ascii="宋体" w:hAnsi="宋体"/>
          <w:szCs w:val="21"/>
          <w:highlight w:val="none"/>
          <w:lang w:val="en-US" w:eastAsia="zh-CN"/>
        </w:rPr>
        <w:t>一</w:t>
      </w:r>
      <w:r>
        <w:rPr>
          <w:rFonts w:hint="eastAsia" w:ascii="宋体" w:hAnsi="宋体"/>
          <w:szCs w:val="21"/>
          <w:highlight w:val="none"/>
        </w:rPr>
        <w:t>、如在投标过程和公示期间发生投诉行为，依法进行投诉。投诉内容符合要求，投诉材料加盖企业公章或由法定代表人授权委托人签字，并附有关身份证明复印件。不恶意投诉，对本公司提供的投诉线索的真实性负责，否则愿接受有关部门的处罚；</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Cs w:val="21"/>
          <w:highlight w:val="none"/>
        </w:rPr>
      </w:pPr>
      <w:r>
        <w:rPr>
          <w:rFonts w:hint="eastAsia" w:ascii="宋体" w:hAnsi="宋体"/>
          <w:szCs w:val="21"/>
          <w:highlight w:val="none"/>
        </w:rPr>
        <w:t>十</w:t>
      </w:r>
      <w:r>
        <w:rPr>
          <w:rFonts w:hint="eastAsia" w:ascii="宋体" w:hAnsi="宋体"/>
          <w:szCs w:val="21"/>
          <w:highlight w:val="none"/>
          <w:lang w:val="en-US" w:eastAsia="zh-CN"/>
        </w:rPr>
        <w:t>二</w:t>
      </w:r>
      <w:r>
        <w:rPr>
          <w:rFonts w:hint="eastAsia" w:ascii="宋体" w:hAnsi="宋体"/>
          <w:szCs w:val="21"/>
          <w:highlight w:val="none"/>
        </w:rPr>
        <w:t>、如我公司中标，按照国务院《关于全面治理拖欠农民工工资问题的意见》（国办发[2016]1号）及国家住建部和人社部关于《建筑工人实名制管理办法》（建市[2019]18号）的规定，总承包单位对所承建的工程项目的建筑工人实名制管理负总责，对建筑工人实行实名制管理；实行人工费用与其他工程款分账管理制度；建筑工程承包单位必须开设农民工工资专户；建设单位在支付工程款时，应将人工费部分按规定汇入建筑工程承包单位的农民工工资专户，由建筑工程承包单位按劳动合同约定，通过农民工工资专户按月足额将工资发放给建筑工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szCs w:val="21"/>
          <w:highlight w:val="none"/>
        </w:rPr>
      </w:pPr>
      <w:r>
        <w:rPr>
          <w:rFonts w:hint="eastAsia" w:ascii="宋体" w:hAnsi="宋体"/>
          <w:szCs w:val="21"/>
          <w:highlight w:val="none"/>
        </w:rPr>
        <w:t>以上内容我已仔细阅读，本公司若有违反承诺内容的行为，自愿接受取消投标或者中标资格、记入不良行为记录、投标保证金不予退还等有关处理，愿意承担法律责任，给招标人造成损失的，依法承担赔偿责任。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szCs w:val="21"/>
          <w:highlight w:val="none"/>
        </w:rPr>
      </w:pPr>
      <w:r>
        <w:rPr>
          <w:rFonts w:hint="eastAsia" w:ascii="宋体" w:hAnsi="宋体"/>
          <w:szCs w:val="21"/>
          <w:highlight w:val="none"/>
        </w:rPr>
        <w:t>开户银行：                          基本账户：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szCs w:val="21"/>
          <w:highlight w:val="none"/>
        </w:rPr>
      </w:pPr>
      <w:r>
        <w:rPr>
          <w:rFonts w:hint="eastAsia" w:ascii="宋体" w:hAnsi="宋体"/>
          <w:szCs w:val="21"/>
          <w:highlight w:val="none"/>
        </w:rPr>
        <w:t>投标人（盖章）：              法定代表人（签字或</w:t>
      </w:r>
      <w:r>
        <w:rPr>
          <w:rFonts w:hint="eastAsia" w:ascii="宋体" w:hAnsi="宋体"/>
          <w:szCs w:val="21"/>
          <w:highlight w:val="none"/>
          <w:lang w:val="en-US" w:eastAsia="zh-CN"/>
        </w:rPr>
        <w:t>盖</w:t>
      </w:r>
      <w:r>
        <w:rPr>
          <w:rFonts w:hint="eastAsia" w:ascii="宋体" w:hAnsi="宋体"/>
          <w:szCs w:val="21"/>
          <w:highlight w:val="none"/>
        </w:rPr>
        <w:t>章）：</w:t>
      </w:r>
    </w:p>
    <w:p>
      <w:pPr>
        <w:keepNext w:val="0"/>
        <w:keepLines w:val="0"/>
        <w:pageBreakBefore w:val="0"/>
        <w:widowControl w:val="0"/>
        <w:kinsoku/>
        <w:wordWrap/>
        <w:overflowPunct/>
        <w:topLinePunct w:val="0"/>
        <w:autoSpaceDE/>
        <w:autoSpaceDN/>
        <w:bidi w:val="0"/>
        <w:adjustRightInd/>
        <w:snapToGrid/>
        <w:spacing w:line="360" w:lineRule="exact"/>
        <w:ind w:firstLine="5250" w:firstLineChars="2500"/>
        <w:textAlignment w:val="auto"/>
        <w:rPr>
          <w:highlight w:val="none"/>
        </w:rPr>
      </w:pPr>
      <w:r>
        <w:rPr>
          <w:rFonts w:hint="eastAsia" w:ascii="宋体" w:hAnsi="宋体"/>
          <w:szCs w:val="21"/>
          <w:highlight w:val="none"/>
        </w:rPr>
        <w:t>日期：    年   月   日</w:t>
      </w:r>
    </w:p>
    <w:p>
      <w:pPr>
        <w:rPr>
          <w:rFonts w:eastAsia="黑体"/>
          <w:sz w:val="28"/>
          <w:szCs w:val="28"/>
          <w:highlight w:val="none"/>
          <w:u w:val="single"/>
        </w:rPr>
      </w:pPr>
      <w:r>
        <w:rPr>
          <w:rFonts w:hint="eastAsia" w:ascii="宋体" w:hAnsi="宋体"/>
          <w:b/>
          <w:sz w:val="32"/>
          <w:szCs w:val="32"/>
          <w:highlight w:val="none"/>
        </w:rPr>
        <w:br w:type="page"/>
      </w:r>
    </w:p>
    <w:p>
      <w:pPr>
        <w:jc w:val="center"/>
        <w:rPr>
          <w:rFonts w:eastAsia="黑体"/>
          <w:sz w:val="28"/>
          <w:szCs w:val="28"/>
          <w:highlight w:val="none"/>
        </w:rPr>
      </w:pPr>
    </w:p>
    <w:p>
      <w:pPr>
        <w:jc w:val="center"/>
        <w:rPr>
          <w:rFonts w:eastAsia="黑体"/>
          <w:sz w:val="20"/>
          <w:szCs w:val="20"/>
          <w:highlight w:val="none"/>
        </w:rPr>
      </w:pPr>
      <w:r>
        <w:rPr>
          <w:rFonts w:eastAsia="黑体"/>
          <w:sz w:val="28"/>
          <w:szCs w:val="28"/>
          <w:highlight w:val="none"/>
        </w:rPr>
        <w:t>（项目名称）</w:t>
      </w:r>
    </w:p>
    <w:p>
      <w:pPr>
        <w:jc w:val="center"/>
        <w:rPr>
          <w:rFonts w:eastAsia="黑体"/>
          <w:sz w:val="20"/>
          <w:szCs w:val="20"/>
          <w:highlight w:val="none"/>
        </w:rPr>
      </w:pPr>
    </w:p>
    <w:p>
      <w:pPr>
        <w:rPr>
          <w:rFonts w:eastAsia="黑体"/>
          <w:sz w:val="20"/>
          <w:szCs w:val="20"/>
          <w:highlight w:val="none"/>
        </w:rPr>
      </w:pPr>
    </w:p>
    <w:p>
      <w:pPr>
        <w:jc w:val="center"/>
        <w:rPr>
          <w:rFonts w:eastAsia="黑体"/>
          <w:sz w:val="44"/>
          <w:szCs w:val="44"/>
          <w:highlight w:val="none"/>
        </w:rPr>
      </w:pPr>
      <w:r>
        <w:rPr>
          <w:rFonts w:eastAsia="黑体"/>
          <w:sz w:val="44"/>
          <w:szCs w:val="44"/>
          <w:highlight w:val="none"/>
        </w:rPr>
        <w:t>投  标  文  件</w:t>
      </w:r>
      <w:r>
        <w:rPr>
          <w:rFonts w:hint="eastAsia" w:eastAsia="黑体"/>
          <w:sz w:val="44"/>
          <w:szCs w:val="44"/>
          <w:highlight w:val="none"/>
        </w:rPr>
        <w:t xml:space="preserve">  二</w:t>
      </w:r>
    </w:p>
    <w:p>
      <w:pPr>
        <w:jc w:val="center"/>
        <w:rPr>
          <w:rFonts w:eastAsia="黑体"/>
          <w:sz w:val="44"/>
          <w:szCs w:val="44"/>
          <w:highlight w:val="none"/>
        </w:rPr>
      </w:pPr>
      <w:r>
        <w:rPr>
          <w:rFonts w:hint="eastAsia" w:eastAsia="黑体"/>
          <w:sz w:val="44"/>
          <w:szCs w:val="44"/>
          <w:highlight w:val="none"/>
        </w:rPr>
        <w:t>（技术标文件）</w:t>
      </w: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pStyle w:val="2"/>
        <w:ind w:firstLine="560"/>
        <w:rPr>
          <w:rFonts w:eastAsia="黑体"/>
          <w:sz w:val="28"/>
          <w:szCs w:val="28"/>
          <w:highlight w:val="none"/>
        </w:rPr>
      </w:pPr>
    </w:p>
    <w:p>
      <w:pPr>
        <w:rPr>
          <w:rFonts w:eastAsia="黑体"/>
          <w:sz w:val="28"/>
          <w:szCs w:val="28"/>
          <w:highlight w:val="none"/>
        </w:rPr>
      </w:pPr>
    </w:p>
    <w:p>
      <w:pPr>
        <w:pStyle w:val="2"/>
        <w:ind w:firstLine="560"/>
        <w:rPr>
          <w:rFonts w:eastAsia="黑体"/>
          <w:sz w:val="28"/>
          <w:szCs w:val="28"/>
          <w:highlight w:val="none"/>
        </w:rPr>
      </w:pPr>
    </w:p>
    <w:p>
      <w:pPr>
        <w:rPr>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jc w:val="center"/>
        <w:rPr>
          <w:rFonts w:eastAsia="黑体"/>
          <w:sz w:val="28"/>
          <w:szCs w:val="28"/>
          <w:u w:val="single"/>
        </w:rPr>
      </w:pPr>
      <w:bookmarkStart w:id="1231" w:name="_Toc35425138"/>
      <w:bookmarkStart w:id="1232" w:name="_Toc3395"/>
      <w:bookmarkStart w:id="1233" w:name="_Toc35424972"/>
      <w:r>
        <w:rPr>
          <w:rFonts w:hint="eastAsia" w:eastAsia="黑体"/>
          <w:sz w:val="28"/>
          <w:szCs w:val="28"/>
        </w:rPr>
        <w:t xml:space="preserve"> 投标人</w:t>
      </w:r>
      <w:r>
        <w:rPr>
          <w:rFonts w:eastAsia="黑体"/>
          <w:sz w:val="28"/>
          <w:szCs w:val="28"/>
        </w:rPr>
        <w:t>：</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w:t>
      </w:r>
      <w:r>
        <w:rPr>
          <w:rFonts w:hint="eastAsia" w:eastAsia="黑体"/>
          <w:sz w:val="28"/>
          <w:szCs w:val="28"/>
        </w:rPr>
        <w:t>盖</w:t>
      </w:r>
      <w:r>
        <w:rPr>
          <w:rFonts w:eastAsia="黑体"/>
          <w:sz w:val="28"/>
          <w:szCs w:val="28"/>
        </w:rPr>
        <w:t>章）</w:t>
      </w:r>
    </w:p>
    <w:p>
      <w:pPr>
        <w:jc w:val="center"/>
        <w:rPr>
          <w:rFonts w:eastAsia="黑体"/>
          <w:sz w:val="28"/>
          <w:szCs w:val="28"/>
        </w:rPr>
      </w:pPr>
      <w:r>
        <w:rPr>
          <w:rFonts w:hint="eastAsia" w:eastAsia="黑体"/>
          <w:sz w:val="28"/>
          <w:szCs w:val="28"/>
        </w:rPr>
        <w:t xml:space="preserve">   </w:t>
      </w:r>
      <w:r>
        <w:rPr>
          <w:rFonts w:eastAsia="黑体"/>
          <w:sz w:val="28"/>
          <w:szCs w:val="28"/>
        </w:rPr>
        <w:t>法定代表人</w:t>
      </w:r>
      <w:r>
        <w:rPr>
          <w:rFonts w:hint="eastAsia" w:eastAsia="黑体"/>
          <w:sz w:val="28"/>
          <w:szCs w:val="28"/>
          <w:lang w:val="en-US" w:eastAsia="zh-CN"/>
        </w:rPr>
        <w:t>或授权委托人</w:t>
      </w:r>
      <w:r>
        <w:rPr>
          <w:rFonts w:eastAsia="黑体"/>
          <w:sz w:val="28"/>
          <w:szCs w:val="28"/>
        </w:rPr>
        <w:t>：</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w:t>
      </w:r>
      <w:r>
        <w:rPr>
          <w:rFonts w:hint="eastAsia" w:eastAsia="黑体"/>
          <w:sz w:val="28"/>
          <w:szCs w:val="28"/>
        </w:rPr>
        <w:t>签字或盖章</w:t>
      </w:r>
      <w:r>
        <w:rPr>
          <w:rFonts w:eastAsia="黑体"/>
          <w:sz w:val="28"/>
          <w:szCs w:val="28"/>
        </w:rPr>
        <w:t>）</w:t>
      </w:r>
    </w:p>
    <w:p>
      <w:pPr>
        <w:jc w:val="center"/>
        <w:rPr>
          <w:rFonts w:eastAsia="黑体"/>
          <w:sz w:val="28"/>
          <w:szCs w:val="28"/>
          <w:highlight w:val="none"/>
        </w:rPr>
      </w:pPr>
      <w:r>
        <w:rPr>
          <w:rFonts w:hint="eastAsia" w:eastAsia="黑体"/>
          <w:sz w:val="28"/>
          <w:szCs w:val="28"/>
          <w:highlight w:val="none"/>
          <w:u w:val="single"/>
        </w:rPr>
        <w:t xml:space="preserve">      </w:t>
      </w:r>
      <w:r>
        <w:rPr>
          <w:rFonts w:eastAsia="黑体"/>
          <w:sz w:val="28"/>
          <w:szCs w:val="28"/>
          <w:highlight w:val="none"/>
        </w:rPr>
        <w:t>年</w:t>
      </w:r>
      <w:r>
        <w:rPr>
          <w:rFonts w:hint="eastAsia" w:eastAsia="黑体"/>
          <w:sz w:val="28"/>
          <w:szCs w:val="28"/>
          <w:highlight w:val="none"/>
          <w:u w:val="single"/>
        </w:rPr>
        <w:t xml:space="preserve">     </w:t>
      </w:r>
      <w:r>
        <w:rPr>
          <w:rFonts w:eastAsia="黑体"/>
          <w:sz w:val="28"/>
          <w:szCs w:val="28"/>
          <w:highlight w:val="none"/>
        </w:rPr>
        <w:t>月</w:t>
      </w:r>
      <w:r>
        <w:rPr>
          <w:rFonts w:hint="eastAsia" w:eastAsia="黑体"/>
          <w:sz w:val="28"/>
          <w:szCs w:val="28"/>
          <w:highlight w:val="none"/>
          <w:u w:val="single"/>
        </w:rPr>
        <w:t xml:space="preserve">     </w:t>
      </w:r>
      <w:r>
        <w:rPr>
          <w:rFonts w:eastAsia="黑体"/>
          <w:sz w:val="28"/>
          <w:szCs w:val="28"/>
          <w:highlight w:val="none"/>
        </w:rPr>
        <w:t>日</w:t>
      </w:r>
    </w:p>
    <w:p>
      <w:pPr>
        <w:spacing w:line="540" w:lineRule="exact"/>
        <w:rPr>
          <w:rStyle w:val="121"/>
          <w:rFonts w:ascii="宋体" w:hAnsi="宋体" w:cs="宋体"/>
          <w:sz w:val="32"/>
          <w:highlight w:val="none"/>
        </w:rPr>
      </w:pPr>
    </w:p>
    <w:p>
      <w:pPr>
        <w:spacing w:beforeLines="50" w:afterLines="50" w:line="440" w:lineRule="exact"/>
        <w:ind w:firstLine="643" w:firstLineChars="200"/>
        <w:jc w:val="left"/>
        <w:rPr>
          <w:rStyle w:val="121"/>
          <w:rFonts w:ascii="宋体" w:hAnsi="宋体" w:cs="宋体"/>
          <w:sz w:val="32"/>
          <w:highlight w:val="none"/>
        </w:rPr>
      </w:pPr>
      <w:bookmarkStart w:id="1234" w:name="_Toc78803400"/>
      <w:r>
        <w:rPr>
          <w:rStyle w:val="121"/>
          <w:rFonts w:hint="eastAsia" w:ascii="宋体" w:hAnsi="宋体" w:cs="宋体"/>
          <w:sz w:val="32"/>
          <w:highlight w:val="none"/>
        </w:rPr>
        <w:br w:type="page"/>
      </w:r>
      <w:r>
        <w:rPr>
          <w:rStyle w:val="121"/>
          <w:rFonts w:hint="eastAsia" w:ascii="宋体" w:hAnsi="宋体" w:cs="宋体"/>
          <w:sz w:val="32"/>
          <w:highlight w:val="none"/>
        </w:rPr>
        <w:t>投标文件二</w:t>
      </w:r>
      <w:bookmarkEnd w:id="1231"/>
      <w:bookmarkEnd w:id="1232"/>
      <w:bookmarkEnd w:id="1233"/>
      <w:r>
        <w:rPr>
          <w:rStyle w:val="121"/>
          <w:rFonts w:hint="eastAsia" w:ascii="宋体" w:hAnsi="宋体" w:cs="宋体"/>
          <w:sz w:val="32"/>
          <w:highlight w:val="none"/>
        </w:rPr>
        <w:t>：技术标目录</w:t>
      </w:r>
      <w:bookmarkEnd w:id="1234"/>
    </w:p>
    <w:p>
      <w:pPr>
        <w:spacing w:line="440" w:lineRule="exact"/>
        <w:ind w:firstLine="420" w:firstLineChars="200"/>
        <w:jc w:val="left"/>
        <w:rPr>
          <w:rFonts w:hint="eastAsia" w:ascii="宋体" w:hAnsi="宋体" w:cs="宋体"/>
          <w:bCs/>
          <w:szCs w:val="21"/>
        </w:rPr>
      </w:pPr>
      <w:r>
        <w:rPr>
          <w:rFonts w:hint="eastAsia" w:ascii="宋体" w:hAnsi="宋体" w:cs="宋体"/>
          <w:bCs/>
          <w:szCs w:val="21"/>
        </w:rPr>
        <w:t>（1）</w:t>
      </w:r>
      <w:r>
        <w:rPr>
          <w:rFonts w:hint="eastAsia" w:ascii="宋体" w:hAnsi="宋体" w:cs="宋体"/>
          <w:bCs/>
          <w:szCs w:val="21"/>
          <w:lang w:val="en-US" w:eastAsia="zh-CN"/>
        </w:rPr>
        <w:t>施工组织设计</w:t>
      </w:r>
      <w:r>
        <w:rPr>
          <w:rFonts w:hint="eastAsia" w:ascii="宋体" w:hAnsi="宋体" w:cs="宋体"/>
          <w:bCs/>
          <w:szCs w:val="21"/>
        </w:rPr>
        <w:t>；</w:t>
      </w:r>
      <w:r>
        <w:rPr>
          <w:rFonts w:hint="eastAsia" w:ascii="宋体" w:hAnsi="宋体" w:cs="宋体"/>
          <w:szCs w:val="21"/>
        </w:rPr>
        <w:t xml:space="preserve"> </w:t>
      </w:r>
    </w:p>
    <w:p>
      <w:pPr>
        <w:spacing w:line="440" w:lineRule="exact"/>
        <w:ind w:firstLine="420" w:firstLineChars="200"/>
        <w:jc w:val="left"/>
        <w:rPr>
          <w:rFonts w:hint="eastAsia" w:ascii="宋体" w:hAnsi="宋体" w:cs="宋体"/>
          <w:bCs/>
          <w:szCs w:val="21"/>
        </w:rPr>
      </w:pPr>
      <w:r>
        <w:rPr>
          <w:rFonts w:hint="eastAsia" w:ascii="宋体" w:hAnsi="宋体" w:cs="宋体"/>
          <w:bCs/>
          <w:szCs w:val="21"/>
        </w:rPr>
        <w:t>（</w:t>
      </w:r>
      <w:r>
        <w:rPr>
          <w:rFonts w:hint="eastAsia" w:ascii="宋体" w:hAnsi="宋体" w:cs="宋体"/>
          <w:bCs/>
          <w:szCs w:val="21"/>
          <w:lang w:val="en-US" w:eastAsia="zh-CN"/>
        </w:rPr>
        <w:t>2</w:t>
      </w:r>
      <w:r>
        <w:rPr>
          <w:rFonts w:hint="eastAsia" w:ascii="宋体" w:hAnsi="宋体" w:cs="宋体"/>
          <w:bCs/>
          <w:szCs w:val="21"/>
        </w:rPr>
        <w:t>）</w:t>
      </w:r>
      <w:r>
        <w:rPr>
          <w:rFonts w:hint="eastAsia" w:ascii="宋体" w:hAnsi="宋体" w:cs="宋体"/>
          <w:bCs/>
          <w:szCs w:val="21"/>
          <w:lang w:val="en-US" w:eastAsia="zh-CN"/>
        </w:rPr>
        <w:t>技术标</w:t>
      </w:r>
      <w:r>
        <w:rPr>
          <w:rFonts w:hint="eastAsia" w:ascii="宋体" w:hAnsi="宋体" w:cs="宋体"/>
          <w:szCs w:val="21"/>
        </w:rPr>
        <w:t>投标人认为需要的其它证明材料</w:t>
      </w:r>
      <w:r>
        <w:rPr>
          <w:rFonts w:hint="eastAsia" w:ascii="宋体" w:hAnsi="宋体" w:cs="宋体"/>
          <w:bCs/>
          <w:szCs w:val="21"/>
        </w:rPr>
        <w:t>。</w:t>
      </w:r>
    </w:p>
    <w:p>
      <w:pPr>
        <w:spacing w:line="360" w:lineRule="auto"/>
        <w:ind w:firstLine="420" w:firstLineChars="200"/>
        <w:rPr>
          <w:rFonts w:ascii="宋体" w:hAnsi="宋体"/>
          <w:szCs w:val="21"/>
          <w:highlight w:val="none"/>
        </w:rPr>
      </w:pPr>
    </w:p>
    <w:p>
      <w:pPr>
        <w:rPr>
          <w:highlight w:val="none"/>
        </w:rPr>
      </w:pPr>
    </w:p>
    <w:p>
      <w:pPr>
        <w:rPr>
          <w:highlight w:val="none"/>
        </w:rPr>
      </w:pPr>
    </w:p>
    <w:p>
      <w:pPr>
        <w:pStyle w:val="4"/>
        <w:rPr>
          <w:highlight w:val="none"/>
        </w:rPr>
      </w:pPr>
      <w:r>
        <w:rPr>
          <w:highlight w:val="none"/>
        </w:rPr>
        <w:br w:type="page"/>
      </w:r>
    </w:p>
    <w:p>
      <w:pPr>
        <w:rPr>
          <w:highlight w:val="none"/>
        </w:rPr>
      </w:pPr>
    </w:p>
    <w:p>
      <w:pPr>
        <w:jc w:val="center"/>
        <w:rPr>
          <w:rFonts w:eastAsia="黑体"/>
          <w:sz w:val="20"/>
          <w:szCs w:val="20"/>
          <w:highlight w:val="none"/>
        </w:rPr>
      </w:pPr>
      <w:r>
        <w:rPr>
          <w:rFonts w:eastAsia="黑体"/>
          <w:sz w:val="28"/>
          <w:szCs w:val="28"/>
          <w:highlight w:val="none"/>
        </w:rPr>
        <w:t>（项目名称）</w:t>
      </w:r>
    </w:p>
    <w:p>
      <w:pPr>
        <w:jc w:val="center"/>
        <w:rPr>
          <w:rFonts w:eastAsia="黑体"/>
          <w:sz w:val="20"/>
          <w:szCs w:val="20"/>
          <w:highlight w:val="none"/>
        </w:rPr>
      </w:pPr>
    </w:p>
    <w:p>
      <w:pPr>
        <w:rPr>
          <w:rFonts w:eastAsia="黑体"/>
          <w:sz w:val="20"/>
          <w:szCs w:val="20"/>
          <w:highlight w:val="none"/>
        </w:rPr>
      </w:pPr>
    </w:p>
    <w:p>
      <w:pPr>
        <w:jc w:val="center"/>
        <w:rPr>
          <w:rFonts w:eastAsia="黑体"/>
          <w:sz w:val="44"/>
          <w:szCs w:val="44"/>
          <w:highlight w:val="none"/>
        </w:rPr>
      </w:pPr>
      <w:r>
        <w:rPr>
          <w:rFonts w:eastAsia="黑体"/>
          <w:sz w:val="44"/>
          <w:szCs w:val="44"/>
          <w:highlight w:val="none"/>
        </w:rPr>
        <w:t>投  标  文  件</w:t>
      </w:r>
      <w:r>
        <w:rPr>
          <w:rFonts w:hint="eastAsia" w:eastAsia="黑体"/>
          <w:sz w:val="44"/>
          <w:szCs w:val="44"/>
          <w:highlight w:val="none"/>
        </w:rPr>
        <w:t xml:space="preserve">  三</w:t>
      </w:r>
    </w:p>
    <w:p>
      <w:pPr>
        <w:jc w:val="center"/>
        <w:rPr>
          <w:rFonts w:eastAsia="黑体"/>
          <w:sz w:val="44"/>
          <w:szCs w:val="44"/>
          <w:highlight w:val="none"/>
        </w:rPr>
      </w:pPr>
      <w:r>
        <w:rPr>
          <w:rFonts w:hint="eastAsia" w:eastAsia="黑体"/>
          <w:sz w:val="44"/>
          <w:szCs w:val="44"/>
          <w:highlight w:val="none"/>
        </w:rPr>
        <w:t>（商务标文件）</w:t>
      </w: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rPr>
          <w:rFonts w:eastAsia="黑体"/>
          <w:sz w:val="28"/>
          <w:szCs w:val="28"/>
          <w:highlight w:val="none"/>
        </w:rPr>
      </w:pPr>
    </w:p>
    <w:p>
      <w:pPr>
        <w:jc w:val="center"/>
        <w:rPr>
          <w:rFonts w:eastAsia="黑体"/>
          <w:sz w:val="28"/>
          <w:szCs w:val="28"/>
          <w:u w:val="single"/>
        </w:rPr>
      </w:pPr>
      <w:r>
        <w:rPr>
          <w:rFonts w:hint="eastAsia" w:eastAsia="黑体"/>
          <w:sz w:val="28"/>
          <w:szCs w:val="28"/>
        </w:rPr>
        <w:t xml:space="preserve"> 投标人</w:t>
      </w:r>
      <w:r>
        <w:rPr>
          <w:rFonts w:eastAsia="黑体"/>
          <w:sz w:val="28"/>
          <w:szCs w:val="28"/>
        </w:rPr>
        <w:t>：</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w:t>
      </w:r>
      <w:r>
        <w:rPr>
          <w:rFonts w:hint="eastAsia" w:eastAsia="黑体"/>
          <w:sz w:val="28"/>
          <w:szCs w:val="28"/>
        </w:rPr>
        <w:t>盖</w:t>
      </w:r>
      <w:r>
        <w:rPr>
          <w:rFonts w:eastAsia="黑体"/>
          <w:sz w:val="28"/>
          <w:szCs w:val="28"/>
        </w:rPr>
        <w:t>章）</w:t>
      </w:r>
    </w:p>
    <w:p>
      <w:pPr>
        <w:jc w:val="center"/>
        <w:rPr>
          <w:rFonts w:eastAsia="黑体"/>
          <w:sz w:val="28"/>
          <w:szCs w:val="28"/>
        </w:rPr>
      </w:pPr>
      <w:r>
        <w:rPr>
          <w:rFonts w:hint="eastAsia" w:eastAsia="黑体"/>
          <w:sz w:val="28"/>
          <w:szCs w:val="28"/>
        </w:rPr>
        <w:t xml:space="preserve">   </w:t>
      </w:r>
      <w:r>
        <w:rPr>
          <w:rFonts w:eastAsia="黑体"/>
          <w:sz w:val="28"/>
          <w:szCs w:val="28"/>
        </w:rPr>
        <w:t>法定代表人</w:t>
      </w:r>
      <w:r>
        <w:rPr>
          <w:rFonts w:hint="eastAsia" w:eastAsia="黑体"/>
          <w:sz w:val="28"/>
          <w:szCs w:val="28"/>
          <w:lang w:val="en-US" w:eastAsia="zh-CN"/>
        </w:rPr>
        <w:t>或授权委托人</w:t>
      </w:r>
      <w:r>
        <w:rPr>
          <w:rFonts w:eastAsia="黑体"/>
          <w:sz w:val="28"/>
          <w:szCs w:val="28"/>
        </w:rPr>
        <w:t>：</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w:t>
      </w:r>
      <w:r>
        <w:rPr>
          <w:rFonts w:hint="eastAsia" w:eastAsia="黑体"/>
          <w:sz w:val="28"/>
          <w:szCs w:val="28"/>
        </w:rPr>
        <w:t>签字或盖章</w:t>
      </w:r>
      <w:r>
        <w:rPr>
          <w:rFonts w:eastAsia="黑体"/>
          <w:sz w:val="28"/>
          <w:szCs w:val="28"/>
        </w:rPr>
        <w:t>）</w:t>
      </w:r>
    </w:p>
    <w:p>
      <w:pPr>
        <w:jc w:val="center"/>
        <w:rPr>
          <w:rFonts w:eastAsia="黑体"/>
          <w:sz w:val="28"/>
          <w:szCs w:val="28"/>
          <w:highlight w:val="none"/>
        </w:rPr>
      </w:pPr>
      <w:r>
        <w:rPr>
          <w:rFonts w:hint="eastAsia" w:eastAsia="黑体"/>
          <w:sz w:val="28"/>
          <w:szCs w:val="28"/>
          <w:highlight w:val="none"/>
          <w:u w:val="single"/>
        </w:rPr>
        <w:t xml:space="preserve">      </w:t>
      </w:r>
      <w:r>
        <w:rPr>
          <w:rFonts w:eastAsia="黑体"/>
          <w:sz w:val="28"/>
          <w:szCs w:val="28"/>
          <w:highlight w:val="none"/>
        </w:rPr>
        <w:t>年</w:t>
      </w:r>
      <w:r>
        <w:rPr>
          <w:rFonts w:hint="eastAsia" w:eastAsia="黑体"/>
          <w:sz w:val="28"/>
          <w:szCs w:val="28"/>
          <w:highlight w:val="none"/>
          <w:u w:val="single"/>
        </w:rPr>
        <w:t xml:space="preserve">     </w:t>
      </w:r>
      <w:r>
        <w:rPr>
          <w:rFonts w:eastAsia="黑体"/>
          <w:sz w:val="28"/>
          <w:szCs w:val="28"/>
          <w:highlight w:val="none"/>
        </w:rPr>
        <w:t>月</w:t>
      </w:r>
      <w:r>
        <w:rPr>
          <w:rFonts w:hint="eastAsia" w:eastAsia="黑体"/>
          <w:sz w:val="28"/>
          <w:szCs w:val="28"/>
          <w:highlight w:val="none"/>
          <w:u w:val="single"/>
        </w:rPr>
        <w:t xml:space="preserve">     </w:t>
      </w:r>
      <w:r>
        <w:rPr>
          <w:rFonts w:eastAsia="黑体"/>
          <w:sz w:val="28"/>
          <w:szCs w:val="28"/>
          <w:highlight w:val="none"/>
        </w:rPr>
        <w:t>日</w:t>
      </w:r>
    </w:p>
    <w:p>
      <w:pPr>
        <w:rPr>
          <w:highlight w:val="none"/>
        </w:rPr>
      </w:pPr>
    </w:p>
    <w:p>
      <w:pPr>
        <w:pStyle w:val="2"/>
        <w:ind w:firstLine="420"/>
        <w:rPr>
          <w:highlight w:val="none"/>
        </w:rPr>
      </w:pPr>
    </w:p>
    <w:p>
      <w:pPr>
        <w:rPr>
          <w:highlight w:val="none"/>
        </w:rPr>
      </w:pPr>
    </w:p>
    <w:p>
      <w:pPr>
        <w:spacing w:beforeLines="50" w:afterLines="50" w:line="440" w:lineRule="exact"/>
        <w:ind w:firstLine="643" w:firstLineChars="200"/>
        <w:jc w:val="left"/>
        <w:rPr>
          <w:rStyle w:val="121"/>
          <w:rFonts w:ascii="宋体" w:hAnsi="宋体" w:cs="宋体"/>
          <w:sz w:val="32"/>
          <w:highlight w:val="none"/>
        </w:rPr>
      </w:pPr>
      <w:bookmarkStart w:id="1235" w:name="_Toc35424973"/>
      <w:bookmarkStart w:id="1236" w:name="_Toc35425139"/>
      <w:bookmarkStart w:id="1237" w:name="_Toc19174"/>
      <w:bookmarkStart w:id="1238" w:name="_Toc78803401"/>
      <w:r>
        <w:rPr>
          <w:rStyle w:val="121"/>
          <w:rFonts w:hint="eastAsia" w:ascii="宋体" w:hAnsi="宋体" w:cs="宋体"/>
          <w:sz w:val="32"/>
          <w:highlight w:val="none"/>
        </w:rPr>
        <w:br w:type="page"/>
      </w:r>
      <w:r>
        <w:rPr>
          <w:rStyle w:val="121"/>
          <w:rFonts w:hint="eastAsia" w:ascii="宋体" w:hAnsi="宋体" w:cs="宋体"/>
          <w:sz w:val="32"/>
          <w:highlight w:val="none"/>
        </w:rPr>
        <w:t>投标文件三</w:t>
      </w:r>
      <w:bookmarkEnd w:id="1235"/>
      <w:bookmarkEnd w:id="1236"/>
      <w:bookmarkEnd w:id="1237"/>
      <w:r>
        <w:rPr>
          <w:rStyle w:val="121"/>
          <w:rFonts w:hint="eastAsia" w:ascii="宋体" w:hAnsi="宋体" w:cs="宋体"/>
          <w:sz w:val="32"/>
          <w:highlight w:val="none"/>
        </w:rPr>
        <w:t>：商务标目录</w:t>
      </w:r>
      <w:bookmarkEnd w:id="1238"/>
    </w:p>
    <w:p>
      <w:pPr>
        <w:spacing w:line="440" w:lineRule="exact"/>
        <w:ind w:firstLine="420" w:firstLineChars="200"/>
        <w:jc w:val="left"/>
        <w:rPr>
          <w:rFonts w:hint="eastAsia" w:ascii="宋体" w:hAnsi="宋体" w:cs="宋体"/>
          <w:i/>
          <w:iCs/>
          <w:szCs w:val="21"/>
        </w:rPr>
      </w:pPr>
      <w:r>
        <w:rPr>
          <w:rFonts w:hint="eastAsia" w:ascii="宋体" w:hAnsi="宋体" w:cs="宋体"/>
          <w:szCs w:val="21"/>
        </w:rPr>
        <w:t>（1）投标函；</w:t>
      </w:r>
    </w:p>
    <w:p>
      <w:pPr>
        <w:spacing w:line="440" w:lineRule="exact"/>
        <w:ind w:firstLine="420" w:firstLineChars="200"/>
        <w:jc w:val="left"/>
        <w:rPr>
          <w:rFonts w:hint="eastAsia" w:ascii="宋体" w:hAnsi="宋体" w:eastAsia="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2</w:t>
      </w:r>
      <w:r>
        <w:rPr>
          <w:rFonts w:hint="eastAsia" w:ascii="宋体" w:hAnsi="宋体" w:cs="宋体"/>
          <w:szCs w:val="21"/>
          <w:lang w:eastAsia="zh-CN"/>
        </w:rPr>
        <w:t>）</w:t>
      </w:r>
      <w:r>
        <w:rPr>
          <w:rFonts w:hint="eastAsia" w:ascii="宋体" w:hAnsi="宋体" w:cs="宋体"/>
          <w:szCs w:val="21"/>
          <w:lang w:val="en-US" w:eastAsia="zh-CN"/>
        </w:rPr>
        <w:t>分项报价清单（格式见附件）</w:t>
      </w:r>
      <w:r>
        <w:rPr>
          <w:rFonts w:hint="eastAsia" w:ascii="宋体" w:hAnsi="宋体" w:cs="宋体"/>
          <w:szCs w:val="21"/>
          <w:lang w:eastAsia="zh-CN"/>
        </w:rPr>
        <w:t>；</w:t>
      </w:r>
    </w:p>
    <w:p>
      <w:pPr>
        <w:spacing w:line="440" w:lineRule="exact"/>
        <w:ind w:firstLine="420" w:firstLineChars="200"/>
        <w:jc w:val="left"/>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3</w:t>
      </w:r>
      <w:r>
        <w:rPr>
          <w:rFonts w:hint="eastAsia" w:ascii="宋体" w:hAnsi="宋体" w:cs="宋体"/>
          <w:szCs w:val="21"/>
        </w:rPr>
        <w:t>）</w:t>
      </w:r>
      <w:r>
        <w:rPr>
          <w:rFonts w:hint="eastAsia" w:ascii="宋体" w:hAnsi="宋体" w:cs="宋体"/>
          <w:szCs w:val="21"/>
          <w:lang w:val="en-US" w:eastAsia="zh-CN"/>
        </w:rPr>
        <w:t>商务标</w:t>
      </w:r>
      <w:r>
        <w:rPr>
          <w:rFonts w:hint="eastAsia" w:ascii="宋体" w:hAnsi="宋体" w:cs="宋体"/>
          <w:szCs w:val="21"/>
        </w:rPr>
        <w:t>投标人认为需要提供的其他材料。</w:t>
      </w:r>
    </w:p>
    <w:p>
      <w:pPr>
        <w:spacing w:line="540" w:lineRule="exact"/>
        <w:rPr>
          <w:rFonts w:eastAsia="黑体"/>
          <w:sz w:val="20"/>
          <w:szCs w:val="20"/>
          <w:highlight w:val="none"/>
        </w:rPr>
      </w:pPr>
    </w:p>
    <w:p>
      <w:pPr>
        <w:spacing w:line="540" w:lineRule="exact"/>
        <w:rPr>
          <w:rFonts w:eastAsia="黑体"/>
          <w:sz w:val="20"/>
          <w:szCs w:val="20"/>
          <w:highlight w:val="none"/>
        </w:rPr>
      </w:pPr>
    </w:p>
    <w:p>
      <w:pPr>
        <w:spacing w:line="540" w:lineRule="exact"/>
        <w:rPr>
          <w:rFonts w:eastAsia="黑体"/>
          <w:sz w:val="20"/>
          <w:szCs w:val="20"/>
          <w:highlight w:val="none"/>
        </w:rPr>
      </w:pPr>
    </w:p>
    <w:p>
      <w:pPr>
        <w:spacing w:line="360" w:lineRule="auto"/>
        <w:ind w:firstLine="420" w:firstLineChars="200"/>
        <w:jc w:val="right"/>
        <w:rPr>
          <w:szCs w:val="21"/>
          <w:highlight w:val="none"/>
          <w:u w:val="single"/>
        </w:rPr>
      </w:pPr>
    </w:p>
    <w:p>
      <w:pPr>
        <w:spacing w:line="360" w:lineRule="auto"/>
        <w:ind w:firstLine="420" w:firstLineChars="200"/>
        <w:jc w:val="right"/>
        <w:rPr>
          <w:szCs w:val="21"/>
          <w:highlight w:val="none"/>
          <w:u w:val="single"/>
        </w:rPr>
      </w:pPr>
    </w:p>
    <w:p>
      <w:pPr>
        <w:spacing w:line="360" w:lineRule="auto"/>
        <w:ind w:firstLine="420" w:firstLineChars="200"/>
        <w:jc w:val="right"/>
        <w:rPr>
          <w:szCs w:val="21"/>
          <w:highlight w:val="none"/>
          <w:u w:val="single"/>
        </w:rPr>
      </w:pPr>
    </w:p>
    <w:p>
      <w:pPr>
        <w:spacing w:line="360" w:lineRule="auto"/>
        <w:ind w:firstLine="420" w:firstLineChars="200"/>
        <w:jc w:val="right"/>
        <w:rPr>
          <w:szCs w:val="21"/>
          <w:highlight w:val="none"/>
          <w:u w:val="single"/>
        </w:rPr>
      </w:pPr>
    </w:p>
    <w:p>
      <w:pPr>
        <w:spacing w:line="360" w:lineRule="auto"/>
        <w:ind w:firstLine="420" w:firstLineChars="200"/>
        <w:jc w:val="right"/>
        <w:rPr>
          <w:szCs w:val="21"/>
          <w:highlight w:val="none"/>
          <w:u w:val="single"/>
        </w:rPr>
      </w:pPr>
    </w:p>
    <w:p>
      <w:pPr>
        <w:spacing w:line="360" w:lineRule="auto"/>
        <w:ind w:firstLine="420" w:firstLineChars="200"/>
        <w:jc w:val="right"/>
        <w:rPr>
          <w:szCs w:val="21"/>
          <w:highlight w:val="none"/>
          <w:u w:val="single"/>
        </w:rPr>
      </w:pPr>
    </w:p>
    <w:p>
      <w:pPr>
        <w:spacing w:line="360" w:lineRule="auto"/>
        <w:ind w:firstLine="420" w:firstLineChars="200"/>
        <w:jc w:val="right"/>
        <w:rPr>
          <w:szCs w:val="21"/>
          <w:highlight w:val="none"/>
          <w:u w:val="single"/>
        </w:rPr>
      </w:pPr>
    </w:p>
    <w:p>
      <w:pPr>
        <w:spacing w:line="360" w:lineRule="auto"/>
        <w:ind w:firstLine="420" w:firstLineChars="200"/>
        <w:jc w:val="right"/>
        <w:rPr>
          <w:szCs w:val="21"/>
          <w:highlight w:val="none"/>
          <w:u w:val="single"/>
        </w:rPr>
      </w:pPr>
    </w:p>
    <w:p>
      <w:pPr>
        <w:jc w:val="center"/>
        <w:rPr>
          <w:b/>
          <w:sz w:val="32"/>
          <w:szCs w:val="32"/>
          <w:highlight w:val="none"/>
        </w:rPr>
      </w:pPr>
    </w:p>
    <w:p>
      <w:pPr>
        <w:jc w:val="center"/>
        <w:rPr>
          <w:b/>
          <w:sz w:val="32"/>
          <w:szCs w:val="32"/>
          <w:highlight w:val="none"/>
        </w:rPr>
      </w:pPr>
    </w:p>
    <w:p>
      <w:pPr>
        <w:jc w:val="center"/>
        <w:rPr>
          <w:b/>
          <w:sz w:val="32"/>
          <w:szCs w:val="32"/>
          <w:highlight w:val="none"/>
        </w:rPr>
      </w:pPr>
    </w:p>
    <w:p>
      <w:pPr>
        <w:jc w:val="center"/>
        <w:rPr>
          <w:b/>
          <w:sz w:val="32"/>
          <w:szCs w:val="32"/>
          <w:highlight w:val="none"/>
        </w:rPr>
      </w:pPr>
    </w:p>
    <w:p>
      <w:pPr>
        <w:jc w:val="center"/>
        <w:rPr>
          <w:b/>
          <w:sz w:val="32"/>
          <w:szCs w:val="32"/>
          <w:highlight w:val="none"/>
        </w:rPr>
      </w:pPr>
    </w:p>
    <w:p>
      <w:pPr>
        <w:jc w:val="center"/>
        <w:rPr>
          <w:b/>
          <w:sz w:val="32"/>
          <w:szCs w:val="32"/>
          <w:highlight w:val="none"/>
        </w:rPr>
      </w:pPr>
    </w:p>
    <w:p>
      <w:pPr>
        <w:jc w:val="center"/>
        <w:rPr>
          <w:b/>
          <w:sz w:val="32"/>
          <w:szCs w:val="32"/>
          <w:highlight w:val="none"/>
        </w:rPr>
      </w:pPr>
    </w:p>
    <w:p>
      <w:pPr>
        <w:spacing w:line="360" w:lineRule="auto"/>
        <w:rPr>
          <w:b/>
          <w:bCs/>
          <w:sz w:val="32"/>
          <w:szCs w:val="32"/>
          <w:highlight w:val="none"/>
        </w:rPr>
      </w:pPr>
    </w:p>
    <w:p>
      <w:pPr>
        <w:jc w:val="center"/>
        <w:rPr>
          <w:rFonts w:ascii="宋体" w:hAnsi="宋体"/>
          <w:b/>
          <w:sz w:val="32"/>
          <w:szCs w:val="32"/>
          <w:highlight w:val="none"/>
        </w:rPr>
      </w:pPr>
      <w:r>
        <w:rPr>
          <w:rFonts w:hint="eastAsia" w:ascii="宋体" w:hAnsi="宋体"/>
          <w:b/>
          <w:sz w:val="32"/>
          <w:szCs w:val="32"/>
          <w:highlight w:val="none"/>
        </w:rPr>
        <w:br w:type="page"/>
      </w:r>
      <w:r>
        <w:rPr>
          <w:rFonts w:hint="eastAsia" w:ascii="宋体" w:hAnsi="宋体"/>
          <w:b/>
          <w:sz w:val="32"/>
          <w:szCs w:val="32"/>
          <w:highlight w:val="none"/>
        </w:rPr>
        <w:t>（1）投 标 函</w:t>
      </w:r>
    </w:p>
    <w:p>
      <w:pPr>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auto"/>
        </w:rPr>
      </w:pPr>
      <w:bookmarkStart w:id="1239" w:name="_Toc35424974"/>
      <w:bookmarkStart w:id="1240" w:name="_Toc35425140"/>
      <w:bookmarkStart w:id="1241" w:name="_Toc15058950"/>
      <w:bookmarkStart w:id="1242" w:name="_Toc506107366"/>
      <w:r>
        <w:rPr>
          <w:rFonts w:hint="eastAsia" w:ascii="宋体" w:hAnsi="宋体" w:eastAsia="宋体" w:cs="宋体"/>
          <w:b/>
          <w:bCs/>
          <w:color w:val="auto"/>
        </w:rPr>
        <w:t>致 ：</w:t>
      </w:r>
      <w:r>
        <w:rPr>
          <w:rFonts w:hint="eastAsia" w:ascii="宋体" w:hAnsi="宋体" w:eastAsia="宋体" w:cs="宋体"/>
          <w:b/>
          <w:bCs/>
          <w:color w:val="auto"/>
          <w:u w:val="single"/>
          <w:lang w:val="en-US" w:eastAsia="zh-CN"/>
        </w:rPr>
        <w:t xml:space="preserve">       （招标人） </w:t>
      </w:r>
      <w:r>
        <w:rPr>
          <w:rFonts w:hint="eastAsia" w:ascii="宋体" w:hAnsi="宋体" w:eastAsia="宋体" w:cs="宋体"/>
          <w:color w:val="auto"/>
        </w:rPr>
        <w:t xml:space="preserve">：  </w:t>
      </w:r>
    </w:p>
    <w:p>
      <w:pPr>
        <w:spacing w:line="440" w:lineRule="exact"/>
        <w:ind w:firstLine="420" w:firstLineChars="200"/>
        <w:jc w:val="left"/>
        <w:rPr>
          <w:rFonts w:ascii="宋体" w:hAnsi="宋体"/>
          <w:color w:val="auto"/>
          <w:szCs w:val="21"/>
        </w:rPr>
      </w:pPr>
      <w:r>
        <w:rPr>
          <w:rFonts w:hint="eastAsia" w:ascii="宋体" w:hAnsi="宋体"/>
          <w:szCs w:val="21"/>
        </w:rPr>
        <w:t>1、根据你方招标项目编号为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的</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招标文件，遵照《中华人民共和国招标投标法》等有关规定，经踏勘项目现场和研究上述招标文件的投标须知、合同条件、技术规范、图纸、工程量清单和其他有关文件</w:t>
      </w:r>
      <w:r>
        <w:rPr>
          <w:rFonts w:hint="eastAsia" w:ascii="宋体" w:hAnsi="宋体"/>
          <w:color w:val="auto"/>
          <w:szCs w:val="21"/>
        </w:rPr>
        <w:t>后，我方愿以为</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元</w:t>
      </w:r>
      <w:r>
        <w:rPr>
          <w:rFonts w:hint="eastAsia" w:ascii="宋体" w:hAnsi="宋体"/>
          <w:color w:val="auto"/>
          <w:szCs w:val="21"/>
        </w:rPr>
        <w:t>的投标报价承包上述项目，并承担任何质量缺陷保修责任。</w:t>
      </w:r>
    </w:p>
    <w:p>
      <w:pPr>
        <w:numPr>
          <w:ilvl w:val="0"/>
          <w:numId w:val="10"/>
        </w:numPr>
        <w:spacing w:line="440" w:lineRule="exact"/>
        <w:ind w:left="0" w:firstLine="404" w:firstLineChars="200"/>
        <w:jc w:val="left"/>
        <w:rPr>
          <w:rFonts w:ascii="宋体" w:hAnsi="宋体"/>
          <w:color w:val="auto"/>
          <w:spacing w:val="-4"/>
          <w:szCs w:val="21"/>
        </w:rPr>
      </w:pPr>
      <w:r>
        <w:rPr>
          <w:rFonts w:hint="eastAsia" w:ascii="宋体" w:hAnsi="宋体"/>
          <w:color w:val="auto"/>
          <w:spacing w:val="-4"/>
          <w:szCs w:val="21"/>
        </w:rPr>
        <w:t>我方已详细审核全部招标文件及有关附件，承诺招标文件及有关附件中所有条款。</w:t>
      </w:r>
    </w:p>
    <w:p>
      <w:pPr>
        <w:spacing w:line="440" w:lineRule="exact"/>
        <w:ind w:firstLine="420" w:firstLineChars="200"/>
        <w:jc w:val="left"/>
        <w:rPr>
          <w:rFonts w:ascii="宋体" w:hAnsi="宋体"/>
          <w:color w:val="auto"/>
          <w:szCs w:val="21"/>
        </w:rPr>
      </w:pPr>
      <w:r>
        <w:rPr>
          <w:rFonts w:hint="eastAsia" w:ascii="宋体" w:hAnsi="宋体"/>
          <w:color w:val="auto"/>
          <w:szCs w:val="21"/>
        </w:rPr>
        <w:t>3、一旦我方中标，我方将派出</w:t>
      </w:r>
      <w:r>
        <w:rPr>
          <w:rFonts w:hint="eastAsia" w:ascii="宋体" w:hAnsi="宋体"/>
          <w:color w:val="auto"/>
          <w:szCs w:val="21"/>
          <w:u w:val="single"/>
        </w:rPr>
        <w:t xml:space="preserve">      </w:t>
      </w:r>
      <w:r>
        <w:rPr>
          <w:rFonts w:hint="eastAsia" w:ascii="宋体" w:hAnsi="宋体"/>
          <w:color w:val="auto"/>
          <w:szCs w:val="21"/>
        </w:rPr>
        <w:t>为本项目的项目</w:t>
      </w:r>
      <w:r>
        <w:rPr>
          <w:rFonts w:hint="eastAsia" w:ascii="宋体" w:hAnsi="宋体"/>
          <w:color w:val="auto"/>
          <w:szCs w:val="21"/>
          <w:lang w:val="en-US" w:eastAsia="zh-CN"/>
        </w:rPr>
        <w:t>经理</w:t>
      </w:r>
      <w:r>
        <w:rPr>
          <w:rFonts w:hint="eastAsia" w:ascii="宋体" w:hAnsi="宋体"/>
          <w:color w:val="auto"/>
          <w:szCs w:val="21"/>
        </w:rPr>
        <w:t>，保证按照招标人要求开始实施本项目，按招标文件要求的时间内完成本合同的施工，并移交整个项目，项目质量达到</w:t>
      </w:r>
      <w:r>
        <w:rPr>
          <w:rFonts w:ascii="宋体" w:hAnsi="宋体"/>
          <w:color w:val="auto"/>
          <w:szCs w:val="21"/>
          <w:u w:val="single"/>
        </w:rPr>
        <w:t xml:space="preserve">   </w:t>
      </w:r>
      <w:r>
        <w:rPr>
          <w:rFonts w:hint="eastAsia" w:ascii="宋体" w:hAnsi="宋体"/>
          <w:color w:val="auto"/>
          <w:szCs w:val="21"/>
          <w:u w:val="single"/>
        </w:rPr>
        <w:t>合格</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标准。</w:t>
      </w:r>
    </w:p>
    <w:p>
      <w:pPr>
        <w:spacing w:line="440" w:lineRule="exact"/>
        <w:ind w:firstLine="420" w:firstLineChars="200"/>
        <w:jc w:val="left"/>
        <w:rPr>
          <w:rFonts w:ascii="宋体" w:hAnsi="宋体"/>
          <w:szCs w:val="21"/>
        </w:rPr>
      </w:pPr>
      <w:r>
        <w:rPr>
          <w:rFonts w:hint="eastAsia" w:ascii="宋体" w:hAnsi="宋体"/>
          <w:color w:val="auto"/>
          <w:szCs w:val="21"/>
        </w:rPr>
        <w:t>4、</w:t>
      </w:r>
      <w:r>
        <w:rPr>
          <w:rFonts w:hint="eastAsia" w:ascii="宋体" w:hAnsi="宋体"/>
          <w:szCs w:val="21"/>
        </w:rPr>
        <w:t>如果我方在本投标书有效期内撤回投标书，或在中标通知书下达后</w:t>
      </w:r>
      <w:r>
        <w:rPr>
          <w:rFonts w:ascii="宋体" w:hAnsi="宋体"/>
          <w:szCs w:val="21"/>
          <w:u w:val="single"/>
        </w:rPr>
        <w:t xml:space="preserve">  </w:t>
      </w:r>
      <w:r>
        <w:rPr>
          <w:rFonts w:hint="eastAsia" w:ascii="宋体" w:hAnsi="宋体"/>
          <w:szCs w:val="21"/>
          <w:u w:val="single"/>
        </w:rPr>
        <w:t>30</w:t>
      </w:r>
      <w:r>
        <w:rPr>
          <w:rFonts w:ascii="宋体" w:hAnsi="宋体"/>
          <w:szCs w:val="21"/>
          <w:u w:val="single"/>
        </w:rPr>
        <w:t xml:space="preserve"> </w:t>
      </w:r>
      <w:r>
        <w:rPr>
          <w:rFonts w:hint="eastAsia" w:ascii="宋体" w:hAnsi="宋体"/>
          <w:szCs w:val="21"/>
        </w:rPr>
        <w:t>天内未能或拒绝签订合同书，或自行转标，贵单位有权另选中标单位。</w:t>
      </w:r>
    </w:p>
    <w:p>
      <w:pPr>
        <w:spacing w:line="440" w:lineRule="exact"/>
        <w:ind w:firstLine="420" w:firstLineChars="200"/>
        <w:jc w:val="left"/>
        <w:rPr>
          <w:rFonts w:hint="eastAsia" w:ascii="宋体" w:hAnsi="宋体"/>
          <w:szCs w:val="21"/>
        </w:rPr>
      </w:pPr>
      <w:r>
        <w:rPr>
          <w:rFonts w:hint="eastAsia" w:ascii="宋体" w:hAnsi="宋体"/>
          <w:szCs w:val="21"/>
        </w:rPr>
        <w:t>5、如果我方中标我方将按照招标文件的规定提交</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rPr>
        <w:t>元作为履约担保。项目验收合格后，方可退还。</w:t>
      </w:r>
    </w:p>
    <w:p>
      <w:pPr>
        <w:spacing w:line="440" w:lineRule="exact"/>
        <w:ind w:firstLine="420" w:firstLineChars="200"/>
        <w:jc w:val="left"/>
        <w:rPr>
          <w:rFonts w:hint="eastAsia" w:ascii="宋体" w:hAnsi="宋体"/>
          <w:szCs w:val="21"/>
        </w:rPr>
      </w:pPr>
      <w:r>
        <w:rPr>
          <w:rFonts w:hint="eastAsia" w:ascii="宋体" w:hAnsi="宋体"/>
          <w:szCs w:val="21"/>
        </w:rPr>
        <w:t>6、投标有效期为</w:t>
      </w:r>
      <w:r>
        <w:rPr>
          <w:rFonts w:hint="eastAsia" w:ascii="宋体" w:hAnsi="宋体"/>
          <w:szCs w:val="21"/>
          <w:u w:val="single"/>
        </w:rPr>
        <w:t xml:space="preserve"> 90</w:t>
      </w:r>
      <w:r>
        <w:rPr>
          <w:rFonts w:hint="eastAsia" w:ascii="宋体" w:hAnsi="宋体"/>
          <w:szCs w:val="21"/>
        </w:rPr>
        <w:t>日历天（从投标截止之日算起）。</w:t>
      </w:r>
    </w:p>
    <w:p>
      <w:pPr>
        <w:spacing w:line="440" w:lineRule="exact"/>
        <w:ind w:firstLine="420" w:firstLineChars="200"/>
        <w:jc w:val="left"/>
        <w:rPr>
          <w:rFonts w:hint="eastAsia" w:ascii="宋体" w:hAnsi="宋体"/>
          <w:szCs w:val="21"/>
        </w:rPr>
      </w:pPr>
      <w:r>
        <w:rPr>
          <w:rFonts w:hint="eastAsia" w:ascii="宋体" w:hAnsi="宋体"/>
          <w:szCs w:val="21"/>
        </w:rPr>
        <w:t>7、我单位提供如下通讯地址：</w:t>
      </w:r>
      <w:r>
        <w:rPr>
          <w:rFonts w:hint="eastAsia" w:ascii="宋体" w:hAnsi="宋体"/>
          <w:szCs w:val="21"/>
          <w:u w:val="single"/>
        </w:rPr>
        <w:t xml:space="preserve">                </w:t>
      </w:r>
      <w:r>
        <w:rPr>
          <w:rFonts w:hint="eastAsia" w:ascii="宋体" w:hAnsi="宋体"/>
          <w:szCs w:val="21"/>
        </w:rPr>
        <w:t>电子邮箱（地址），确认本项目相关法律文书均通过提供的以上地址送达，相关文书只要发送至以上电子邮箱（地址）即视为送达，投标人愿意承担一切法律后果。</w:t>
      </w:r>
    </w:p>
    <w:p>
      <w:pPr>
        <w:spacing w:line="600" w:lineRule="exact"/>
        <w:ind w:firstLine="420" w:firstLineChars="200"/>
        <w:jc w:val="left"/>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rPr>
      </w:pP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u w:val="single"/>
        </w:rPr>
      </w:pPr>
      <w:r>
        <w:rPr>
          <w:rFonts w:hint="eastAsia" w:ascii="宋体" w:hAnsi="宋体" w:eastAsia="宋体" w:cs="宋体"/>
          <w:color w:val="auto"/>
          <w:szCs w:val="21"/>
        </w:rPr>
        <w:t>投标人：</w:t>
      </w:r>
      <w:r>
        <w:rPr>
          <w:rFonts w:hint="eastAsia" w:ascii="宋体" w:hAnsi="宋体" w:eastAsia="宋体" w:cs="宋体"/>
          <w:color w:val="auto"/>
          <w:szCs w:val="21"/>
          <w:u w:val="single"/>
        </w:rPr>
        <w:t xml:space="preserve">                             （</w:t>
      </w:r>
      <w:r>
        <w:rPr>
          <w:rFonts w:hint="eastAsia" w:ascii="宋体" w:hAnsi="宋体" w:cs="宋体"/>
          <w:color w:val="auto"/>
          <w:szCs w:val="21"/>
          <w:u w:val="single"/>
          <w:lang w:val="en-US" w:eastAsia="zh-CN"/>
        </w:rPr>
        <w:t>盖</w:t>
      </w:r>
      <w:r>
        <w:rPr>
          <w:rFonts w:hint="eastAsia" w:ascii="宋体" w:hAnsi="宋体" w:eastAsia="宋体" w:cs="宋体"/>
          <w:color w:val="auto"/>
          <w:szCs w:val="21"/>
          <w:u w:val="single"/>
        </w:rPr>
        <w:t xml:space="preserve">章）   </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szCs w:val="21"/>
          <w:u w:val="single"/>
        </w:rPr>
        <w:t xml:space="preserve">                         （签</w:t>
      </w:r>
      <w:r>
        <w:rPr>
          <w:rFonts w:hint="eastAsia" w:ascii="宋体" w:hAnsi="宋体" w:cs="宋体"/>
          <w:color w:val="auto"/>
          <w:szCs w:val="21"/>
          <w:u w:val="single"/>
          <w:lang w:val="en-US" w:eastAsia="zh-CN"/>
        </w:rPr>
        <w:t>字或盖</w:t>
      </w:r>
      <w:r>
        <w:rPr>
          <w:rFonts w:hint="eastAsia" w:ascii="宋体" w:hAnsi="宋体" w:eastAsia="宋体" w:cs="宋体"/>
          <w:color w:val="auto"/>
          <w:szCs w:val="21"/>
          <w:u w:val="single"/>
        </w:rPr>
        <w:t>章）</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rPr>
      </w:pPr>
      <w:r>
        <w:rPr>
          <w:rFonts w:hint="eastAsia" w:ascii="宋体" w:hAnsi="宋体" w:eastAsia="宋体" w:cs="宋体"/>
          <w:color w:val="auto"/>
          <w:szCs w:val="21"/>
        </w:rPr>
        <w:t>单位地址：</w:t>
      </w:r>
      <w:r>
        <w:rPr>
          <w:rFonts w:hint="eastAsia" w:ascii="宋体" w:hAnsi="宋体" w:eastAsia="宋体" w:cs="宋体"/>
          <w:color w:val="auto"/>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u w:val="single"/>
        </w:rPr>
      </w:pPr>
      <w:r>
        <w:rPr>
          <w:rFonts w:hint="eastAsia" w:ascii="宋体" w:hAnsi="宋体" w:eastAsia="宋体" w:cs="宋体"/>
          <w:color w:val="auto"/>
          <w:szCs w:val="21"/>
        </w:rPr>
        <w:t>邮政编码：</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电话：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传真：</w:t>
      </w:r>
      <w:r>
        <w:rPr>
          <w:rFonts w:hint="eastAsia" w:ascii="宋体" w:hAnsi="宋体" w:eastAsia="宋体" w:cs="宋体"/>
          <w:color w:val="auto"/>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2310" w:firstLineChars="1100"/>
        <w:jc w:val="left"/>
        <w:textAlignment w:val="auto"/>
        <w:rPr>
          <w:rFonts w:hint="eastAsia"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年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月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pPr>
        <w:rPr>
          <w:rFonts w:hint="eastAsia" w:ascii="宋体" w:hAnsi="宋体" w:eastAsia="宋体" w:cs="宋体"/>
          <w:color w:val="auto"/>
          <w:szCs w:val="21"/>
        </w:rPr>
      </w:pPr>
      <w:r>
        <w:rPr>
          <w:rFonts w:hint="eastAsia" w:ascii="宋体" w:hAnsi="宋体" w:eastAsia="宋体" w:cs="宋体"/>
          <w:color w:val="auto"/>
          <w:szCs w:val="21"/>
        </w:rPr>
        <w:br w:type="page"/>
      </w:r>
    </w:p>
    <w:p>
      <w:pPr>
        <w:pStyle w:val="2"/>
        <w:rPr>
          <w:rFonts w:hint="eastAsia"/>
        </w:rPr>
      </w:pPr>
    </w:p>
    <w:p>
      <w:pPr>
        <w:snapToGrid w:val="0"/>
        <w:spacing w:before="161" w:beforeLines="50" w:after="161" w:afterLines="50" w:line="440" w:lineRule="exact"/>
        <w:jc w:val="center"/>
        <w:outlineLvl w:val="2"/>
        <w:rPr>
          <w:rFonts w:hint="eastAsia" w:ascii="宋体" w:cs="宋体"/>
          <w:b/>
          <w:bCs/>
          <w:sz w:val="28"/>
          <w:szCs w:val="28"/>
          <w:highlight w:val="none"/>
        </w:rPr>
      </w:pPr>
      <w:r>
        <w:rPr>
          <w:rFonts w:hint="eastAsia" w:ascii="宋体" w:hAnsi="Times New Roman" w:eastAsia="宋体" w:cs="Times New Roman"/>
          <w:b/>
          <w:sz w:val="36"/>
          <w:szCs w:val="36"/>
          <w:highlight w:val="none"/>
          <w:lang w:val="en-US" w:eastAsia="zh-CN"/>
        </w:rPr>
        <w:t>（</w:t>
      </w:r>
      <w:r>
        <w:rPr>
          <w:rFonts w:hint="eastAsia" w:ascii="宋体" w:eastAsia="宋体" w:cs="Times New Roman"/>
          <w:b/>
          <w:sz w:val="36"/>
          <w:szCs w:val="36"/>
          <w:highlight w:val="none"/>
          <w:lang w:val="en-US" w:eastAsia="zh-CN"/>
        </w:rPr>
        <w:t>2</w:t>
      </w:r>
      <w:r>
        <w:rPr>
          <w:rFonts w:hint="eastAsia" w:ascii="宋体" w:hAnsi="Times New Roman" w:eastAsia="宋体" w:cs="Times New Roman"/>
          <w:b/>
          <w:sz w:val="36"/>
          <w:szCs w:val="36"/>
          <w:highlight w:val="none"/>
          <w:lang w:val="en-US" w:eastAsia="zh-CN"/>
        </w:rPr>
        <w:t>）分项报价清单</w:t>
      </w:r>
    </w:p>
    <w:tbl>
      <w:tblPr>
        <w:tblStyle w:val="46"/>
        <w:tblW w:w="9371" w:type="dxa"/>
        <w:tblInd w:w="-25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3"/>
        <w:gridCol w:w="1495"/>
        <w:gridCol w:w="2867"/>
        <w:gridCol w:w="666"/>
        <w:gridCol w:w="784"/>
        <w:gridCol w:w="1100"/>
        <w:gridCol w:w="916"/>
        <w:gridCol w:w="9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5" w:hRule="atLeast"/>
        </w:trPr>
        <w:tc>
          <w:tcPr>
            <w:tcW w:w="643" w:type="dxa"/>
            <w:noWrap w:val="0"/>
            <w:vAlign w:val="center"/>
          </w:tcPr>
          <w:p>
            <w:pPr>
              <w:spacing w:line="300" w:lineRule="exact"/>
              <w:jc w:val="center"/>
              <w:rPr>
                <w:rFonts w:hint="eastAsia" w:ascii="宋体" w:hAnsi="宋体"/>
                <w:color w:val="000000"/>
                <w:szCs w:val="21"/>
                <w:highlight w:val="none"/>
              </w:rPr>
            </w:pPr>
            <w:r>
              <w:rPr>
                <w:rFonts w:hint="eastAsia" w:ascii="宋体" w:hAnsi="宋体"/>
                <w:color w:val="000000"/>
                <w:szCs w:val="21"/>
                <w:highlight w:val="none"/>
              </w:rPr>
              <w:t>序号</w:t>
            </w:r>
          </w:p>
        </w:tc>
        <w:tc>
          <w:tcPr>
            <w:tcW w:w="1495" w:type="dxa"/>
            <w:tcBorders>
              <w:right w:val="single" w:color="auto" w:sz="4" w:space="0"/>
            </w:tcBorders>
            <w:noWrap w:val="0"/>
            <w:vAlign w:val="center"/>
          </w:tcPr>
          <w:p>
            <w:pPr>
              <w:spacing w:line="300" w:lineRule="exact"/>
              <w:jc w:val="center"/>
              <w:rPr>
                <w:rFonts w:hint="eastAsia" w:ascii="宋体" w:hAnsi="宋体"/>
                <w:color w:val="000000"/>
                <w:szCs w:val="21"/>
                <w:highlight w:val="none"/>
              </w:rPr>
            </w:pPr>
            <w:r>
              <w:rPr>
                <w:rFonts w:hint="eastAsia" w:ascii="宋体" w:hAnsi="宋体"/>
                <w:color w:val="000000"/>
                <w:szCs w:val="21"/>
                <w:highlight w:val="none"/>
              </w:rPr>
              <w:t>名称</w:t>
            </w:r>
          </w:p>
        </w:tc>
        <w:tc>
          <w:tcPr>
            <w:tcW w:w="2867" w:type="dxa"/>
            <w:tcBorders>
              <w:left w:val="single" w:color="auto" w:sz="4" w:space="0"/>
            </w:tcBorders>
            <w:noWrap w:val="0"/>
            <w:vAlign w:val="center"/>
          </w:tcPr>
          <w:p>
            <w:pPr>
              <w:spacing w:line="300" w:lineRule="exact"/>
              <w:jc w:val="center"/>
              <w:rPr>
                <w:rFonts w:hint="default" w:ascii="宋体" w:hAnsi="宋体" w:eastAsia="宋体"/>
                <w:color w:val="000000"/>
                <w:szCs w:val="21"/>
                <w:highlight w:val="none"/>
                <w:lang w:val="en-US" w:eastAsia="zh-CN"/>
              </w:rPr>
            </w:pPr>
            <w:r>
              <w:rPr>
                <w:rFonts w:hint="eastAsia" w:ascii="宋体" w:hAnsi="宋体"/>
                <w:color w:val="000000"/>
                <w:szCs w:val="21"/>
                <w:highlight w:val="none"/>
                <w:lang w:val="en-US" w:eastAsia="zh-CN"/>
              </w:rPr>
              <w:t>项目特征</w:t>
            </w:r>
          </w:p>
        </w:tc>
        <w:tc>
          <w:tcPr>
            <w:tcW w:w="666" w:type="dxa"/>
            <w:noWrap w:val="0"/>
            <w:vAlign w:val="center"/>
          </w:tcPr>
          <w:p>
            <w:pPr>
              <w:spacing w:line="300" w:lineRule="exact"/>
              <w:jc w:val="center"/>
              <w:rPr>
                <w:rFonts w:hint="eastAsia" w:ascii="宋体" w:hAnsi="宋体"/>
                <w:color w:val="000000"/>
                <w:szCs w:val="21"/>
                <w:highlight w:val="none"/>
              </w:rPr>
            </w:pPr>
            <w:r>
              <w:rPr>
                <w:rFonts w:hint="eastAsia" w:ascii="宋体" w:hAnsi="宋体"/>
                <w:color w:val="000000"/>
                <w:szCs w:val="21"/>
                <w:highlight w:val="none"/>
              </w:rPr>
              <w:t>单位</w:t>
            </w:r>
          </w:p>
        </w:tc>
        <w:tc>
          <w:tcPr>
            <w:tcW w:w="784" w:type="dxa"/>
            <w:noWrap w:val="0"/>
            <w:vAlign w:val="center"/>
          </w:tcPr>
          <w:p>
            <w:pPr>
              <w:spacing w:line="300" w:lineRule="exact"/>
              <w:jc w:val="center"/>
              <w:rPr>
                <w:rFonts w:hint="eastAsia" w:ascii="宋体" w:hAnsi="宋体"/>
                <w:color w:val="000000"/>
                <w:szCs w:val="21"/>
                <w:highlight w:val="none"/>
              </w:rPr>
            </w:pPr>
            <w:r>
              <w:rPr>
                <w:rFonts w:hint="eastAsia" w:ascii="宋体" w:hAnsi="宋体"/>
                <w:color w:val="000000"/>
                <w:szCs w:val="21"/>
                <w:highlight w:val="none"/>
              </w:rPr>
              <w:t>数量</w:t>
            </w:r>
          </w:p>
        </w:tc>
        <w:tc>
          <w:tcPr>
            <w:tcW w:w="1100" w:type="dxa"/>
            <w:tcBorders>
              <w:left w:val="single" w:color="auto" w:sz="4" w:space="0"/>
            </w:tcBorders>
            <w:noWrap w:val="0"/>
            <w:vAlign w:val="center"/>
          </w:tcPr>
          <w:p>
            <w:pPr>
              <w:spacing w:line="300" w:lineRule="exact"/>
              <w:jc w:val="center"/>
              <w:rPr>
                <w:rFonts w:hint="eastAsia" w:ascii="宋体" w:hAnsi="宋体"/>
                <w:color w:val="000000"/>
                <w:szCs w:val="21"/>
                <w:highlight w:val="none"/>
              </w:rPr>
            </w:pPr>
            <w:r>
              <w:rPr>
                <w:rFonts w:hint="eastAsia" w:ascii="宋体" w:hAnsi="宋体"/>
                <w:color w:val="000000"/>
                <w:szCs w:val="21"/>
                <w:highlight w:val="none"/>
                <w:lang w:val="en-US" w:eastAsia="zh-CN"/>
              </w:rPr>
              <w:t>综合单价</w:t>
            </w:r>
            <w:r>
              <w:rPr>
                <w:rFonts w:hint="eastAsia" w:ascii="宋体" w:hAnsi="宋体"/>
                <w:color w:val="000000"/>
                <w:szCs w:val="21"/>
                <w:highlight w:val="none"/>
              </w:rPr>
              <w:t>（元）</w:t>
            </w:r>
          </w:p>
        </w:tc>
        <w:tc>
          <w:tcPr>
            <w:tcW w:w="916" w:type="dxa"/>
            <w:noWrap w:val="0"/>
            <w:vAlign w:val="center"/>
          </w:tcPr>
          <w:p>
            <w:pPr>
              <w:spacing w:line="300" w:lineRule="exact"/>
              <w:jc w:val="center"/>
              <w:rPr>
                <w:rFonts w:hint="eastAsia" w:ascii="宋体" w:hAnsi="宋体"/>
                <w:color w:val="000000"/>
                <w:szCs w:val="21"/>
                <w:highlight w:val="none"/>
              </w:rPr>
            </w:pPr>
            <w:r>
              <w:rPr>
                <w:rFonts w:hint="eastAsia" w:ascii="宋体" w:hAnsi="宋体"/>
                <w:color w:val="000000"/>
                <w:szCs w:val="21"/>
                <w:highlight w:val="none"/>
              </w:rPr>
              <w:t>合 价（元）</w:t>
            </w:r>
          </w:p>
        </w:tc>
        <w:tc>
          <w:tcPr>
            <w:tcW w:w="900" w:type="dxa"/>
            <w:noWrap w:val="0"/>
            <w:vAlign w:val="center"/>
          </w:tcPr>
          <w:p>
            <w:pPr>
              <w:spacing w:line="300" w:lineRule="exact"/>
              <w:ind w:left="-80" w:leftChars="-38" w:right="-94" w:rightChars="-45"/>
              <w:jc w:val="center"/>
              <w:rPr>
                <w:rFonts w:hint="eastAsia" w:ascii="宋体" w:hAnsi="宋体"/>
                <w:color w:val="000000"/>
                <w:szCs w:val="21"/>
                <w:highlight w:val="none"/>
              </w:rPr>
            </w:pPr>
            <w:r>
              <w:rPr>
                <w:rFonts w:hint="eastAsia" w:ascii="宋体" w:hAnsi="宋体"/>
                <w:color w:val="000000"/>
                <w:szCs w:val="21"/>
                <w:highlight w:val="none"/>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1</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栽植乔木</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1.种类:香樟</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2.胸径(cm):∅18</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3.株高(cm):600-650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4.冠幅(cm):450-500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5.土球直径(cm):≥150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6.养护期:苗木支撑，三级养护，养护期一年</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7.分枝点高度2.8米以上</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株</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3</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2</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栽植乔木</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1.种类:香樟</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2.胸径(cm):∅15</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3.株高(cm):550-600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4.冠幅(cm):350-400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5.土球直径(cm):≥120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6.养护期:苗木支撑，三级养护，养护期一年</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7.分枝点高度2.8米以上</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株</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36</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3</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栽植乔木</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1.种类:桂花</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2.胸径(cm):∅12</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3.株高(cm):300-350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4.冠幅(cm):250-300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5.土球直径(cm):≥100</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6.养护期:苗木支撑，三级养护，养护期一年</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株</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6</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4</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栽植乔木</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1.种类:栾树</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2.胸径(cm):∅16</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3.株高(cm):550-600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4.冠幅(cm):400-450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5.土球直径(cm):≥130</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6.养护期:苗木支撑，三级养护，养护期一年</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株</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3</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5</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栽植乔木</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1.种类:紫薇</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2.地径(cm):D10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3.株高(cm):250-300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4.冠幅(cm):120-150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5.土球直径(cm):≥80</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6.养护期:苗木支撑，三级养护，养护期一年</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株</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12</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6</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栽植灌木</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1.种类:红梅</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2.地径(cm):D8</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3.冠丛高(cm):280.0 </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4.蓬径(cm):250.0 </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5.土球直径(cm):≥70</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6.养护期:苗木支撑，三级养护，养护期一年</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株</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3</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7</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栽植色带</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1.苗木、花卉种类:红叶石楠</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2.株高（cm）:35-40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3.蓬径（cm）:30-35</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4.单位面积株数:25株/平方米</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5.养护期:苗木支撑，三级养护，养护期一年</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m²</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215</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8</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栽植色带</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1.苗木、花卉种类:金边黄杨</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2.株高（cm）:35-40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3.蓬径（cm）:30-35</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4.单位面积株数:25株/平方米</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5.养护期:苗木支撑，三级养护，养护期一年</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m²</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41</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9</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栽植色带</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1.苗木、花卉种类:兰花三七</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2.株高（cm）:15-20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3.蓬径（cm）:15-20</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4.单位面积株数:3-5芽/丛，81丛/㎡，容器苗</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5.养护期:苗木支撑，三级养护，养护期一年</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m²</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6380</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6" w:hRule="atLeast"/>
        </w:trPr>
        <w:tc>
          <w:tcPr>
            <w:tcW w:w="643" w:type="dxa"/>
            <w:shd w:val="clear" w:color="auto" w:fill="auto"/>
            <w:noWrap w:val="0"/>
            <w:vAlign w:val="center"/>
          </w:tcPr>
          <w:p>
            <w:pPr>
              <w:jc w:val="center"/>
              <w:textAlignment w:val="baseline"/>
              <w:rPr>
                <w:rFonts w:hint="default" w:ascii="宋体" w:hAnsi="宋体" w:eastAsia="宋体"/>
                <w:color w:val="000000"/>
                <w:szCs w:val="21"/>
                <w:highlight w:val="none"/>
                <w:lang w:val="en-US" w:eastAsia="zh-CN"/>
              </w:rPr>
            </w:pPr>
            <w:r>
              <w:rPr>
                <w:rFonts w:hint="eastAsia" w:ascii="宋体" w:hAnsi="宋体"/>
                <w:color w:val="000000"/>
                <w:szCs w:val="21"/>
                <w:highlight w:val="none"/>
                <w:lang w:val="en-US" w:eastAsia="zh-CN"/>
              </w:rPr>
              <w:t>10</w:t>
            </w:r>
          </w:p>
        </w:tc>
        <w:tc>
          <w:tcPr>
            <w:tcW w:w="1495" w:type="dxa"/>
            <w:tcBorders>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种植土回（换）填</w:t>
            </w:r>
          </w:p>
        </w:tc>
        <w:tc>
          <w:tcPr>
            <w:tcW w:w="2867" w:type="dxa"/>
            <w:tcBorders>
              <w:lef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1.原地面清理，不满足要求的废土、废渣、杂草、杂树、垃圾等杂物清理外弃</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2.回填土质要求:园林种植土，种植土造型整理</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3.取土运距:运距自行考虑</w:t>
            </w:r>
          </w:p>
          <w:p>
            <w:pPr>
              <w:keepNext w:val="0"/>
              <w:keepLines w:val="0"/>
              <w:widowControl/>
              <w:suppressLineNumbers w:val="0"/>
              <w:jc w:val="left"/>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4.弃土运距:运距自行考虑</w:t>
            </w:r>
          </w:p>
        </w:tc>
        <w:tc>
          <w:tcPr>
            <w:tcW w:w="666"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m³</w:t>
            </w:r>
          </w:p>
        </w:tc>
        <w:tc>
          <w:tcPr>
            <w:tcW w:w="784" w:type="dxa"/>
            <w:shd w:val="clear" w:color="auto" w:fill="FFFFFF"/>
            <w:noWrap w:val="0"/>
            <w:vAlign w:val="center"/>
          </w:tcPr>
          <w:p>
            <w:pPr>
              <w:keepNext w:val="0"/>
              <w:keepLines w:val="0"/>
              <w:widowControl/>
              <w:suppressLineNumbers w:val="0"/>
              <w:jc w:val="center"/>
              <w:textAlignment w:val="center"/>
              <w:rPr>
                <w:rFonts w:hint="eastAsia" w:ascii="宋体" w:hAnsi="宋体"/>
                <w:color w:val="000000"/>
                <w:sz w:val="24"/>
                <w:highlight w:val="none"/>
              </w:rPr>
            </w:pPr>
            <w:r>
              <w:rPr>
                <w:rFonts w:hint="eastAsia" w:ascii="宋体" w:hAnsi="宋体" w:eastAsia="宋体" w:cs="宋体"/>
                <w:i w:val="0"/>
                <w:iCs w:val="0"/>
                <w:color w:val="000000"/>
                <w:kern w:val="0"/>
                <w:sz w:val="20"/>
                <w:szCs w:val="20"/>
                <w:u w:val="none"/>
                <w:lang w:val="en-US" w:eastAsia="zh-CN" w:bidi="ar"/>
              </w:rPr>
              <w:t>2654</w:t>
            </w:r>
          </w:p>
        </w:tc>
        <w:tc>
          <w:tcPr>
            <w:tcW w:w="1100" w:type="dxa"/>
            <w:tcBorders>
              <w:left w:val="single" w:color="auto" w:sz="4" w:space="0"/>
            </w:tcBorders>
            <w:noWrap w:val="0"/>
            <w:vAlign w:val="center"/>
          </w:tcPr>
          <w:p>
            <w:pPr>
              <w:spacing w:line="300" w:lineRule="exact"/>
              <w:jc w:val="center"/>
              <w:rPr>
                <w:rFonts w:hint="eastAsia" w:ascii="宋体" w:hAnsi="宋体"/>
                <w:color w:val="000000"/>
                <w:sz w:val="24"/>
                <w:highlight w:val="none"/>
              </w:rPr>
            </w:pPr>
          </w:p>
        </w:tc>
        <w:tc>
          <w:tcPr>
            <w:tcW w:w="916" w:type="dxa"/>
            <w:noWrap w:val="0"/>
            <w:vAlign w:val="center"/>
          </w:tcPr>
          <w:p>
            <w:pPr>
              <w:spacing w:line="300" w:lineRule="exact"/>
              <w:jc w:val="center"/>
              <w:rPr>
                <w:rFonts w:hint="eastAsia" w:ascii="宋体" w:hAnsi="宋体"/>
                <w:color w:val="000000"/>
                <w:sz w:val="24"/>
                <w:highlight w:val="none"/>
              </w:rPr>
            </w:pPr>
          </w:p>
        </w:tc>
        <w:tc>
          <w:tcPr>
            <w:tcW w:w="900" w:type="dxa"/>
            <w:noWrap w:val="0"/>
            <w:vAlign w:val="center"/>
          </w:tcPr>
          <w:p>
            <w:pPr>
              <w:spacing w:line="300" w:lineRule="exact"/>
              <w:jc w:val="center"/>
              <w:rPr>
                <w:rFonts w:hint="eastAsia" w:ascii="宋体" w:hAnsi="宋体"/>
                <w:color w:val="000000"/>
                <w:sz w:val="24"/>
                <w:highlight w:val="none"/>
              </w:rPr>
            </w:pPr>
          </w:p>
        </w:tc>
      </w:tr>
    </w:tbl>
    <w:p>
      <w:pPr>
        <w:ind w:firstLine="420" w:firstLineChars="200"/>
        <w:jc w:val="left"/>
        <w:rPr>
          <w:rFonts w:hint="eastAsia" w:ascii="Times New Roman" w:hAnsi="Times New Roman" w:eastAsia="宋体" w:cs="Times New Roman"/>
          <w:highlight w:val="none"/>
          <w:lang w:val="zh-CN"/>
        </w:rPr>
      </w:pPr>
      <w:r>
        <w:rPr>
          <w:rFonts w:hint="eastAsia" w:ascii="Times New Roman" w:hAnsi="Times New Roman" w:eastAsia="宋体" w:cs="Times New Roman"/>
          <w:highlight w:val="none"/>
          <w:lang w:val="zh-CN"/>
        </w:rPr>
        <w:t>注：</w:t>
      </w:r>
      <w:r>
        <w:rPr>
          <w:rFonts w:hint="eastAsia" w:ascii="Times New Roman" w:hAnsi="Times New Roman" w:eastAsia="宋体" w:cs="Times New Roman"/>
          <w:highlight w:val="none"/>
          <w:lang w:val="en-US" w:eastAsia="zh-CN"/>
        </w:rPr>
        <w:t>1</w:t>
      </w:r>
      <w:r>
        <w:rPr>
          <w:rFonts w:hint="eastAsia" w:ascii="Times New Roman" w:hAnsi="Times New Roman" w:eastAsia="宋体" w:cs="Times New Roman"/>
          <w:highlight w:val="none"/>
          <w:lang w:val="zh-CN"/>
        </w:rPr>
        <w:t>.所有投标只能选择一种方案，单价和合价的报价只能是唯一，且须列出详细的分项报价。（与采购清单项相一致，不得缺项，否则视同包含在其他项目。）</w:t>
      </w:r>
    </w:p>
    <w:p>
      <w:pPr>
        <w:ind w:firstLine="420" w:firstLineChars="200"/>
        <w:jc w:val="left"/>
        <w:rPr>
          <w:rFonts w:hint="eastAsia" w:ascii="Times New Roman" w:hAnsi="Times New Roman" w:eastAsia="宋体" w:cs="Times New Roman"/>
          <w:highlight w:val="none"/>
          <w:lang w:val="zh-CN"/>
        </w:rPr>
      </w:pPr>
      <w:r>
        <w:rPr>
          <w:rFonts w:hint="eastAsia" w:ascii="Times New Roman" w:hAnsi="Times New Roman" w:eastAsia="宋体" w:cs="Times New Roman"/>
          <w:highlight w:val="none"/>
          <w:lang w:val="en-US" w:eastAsia="zh-CN"/>
        </w:rPr>
        <w:t>2.</w:t>
      </w:r>
      <w:r>
        <w:rPr>
          <w:rFonts w:hint="eastAsia" w:ascii="Times New Roman" w:hAnsi="Times New Roman" w:eastAsia="宋体" w:cs="Times New Roman"/>
          <w:highlight w:val="none"/>
          <w:lang w:val="zh-CN"/>
        </w:rPr>
        <w:t>投标报价采用综合单价法，综合单价包括完成招标文件和采购配置清单要求的所有货物及相关服务内容所包含的一切应有费用。综合单价今后将不作任何调整。</w:t>
      </w:r>
    </w:p>
    <w:p>
      <w:pPr>
        <w:ind w:firstLine="420" w:firstLineChars="200"/>
        <w:jc w:val="left"/>
        <w:rPr>
          <w:highlight w:val="none"/>
        </w:rPr>
      </w:pPr>
      <w:r>
        <w:rPr>
          <w:rFonts w:hint="eastAsia"/>
          <w:highlight w:val="none"/>
          <w:lang w:val="en-US" w:eastAsia="zh-CN"/>
        </w:rPr>
        <w:t>3</w:t>
      </w:r>
      <w:r>
        <w:rPr>
          <w:rFonts w:hint="eastAsia"/>
          <w:highlight w:val="none"/>
          <w:lang w:val="zh-CN"/>
        </w:rPr>
        <w:t>.最终价格按实际数量结算，</w:t>
      </w:r>
      <w:r>
        <w:rPr>
          <w:rFonts w:hint="eastAsia"/>
          <w:highlight w:val="none"/>
        </w:rPr>
        <w:t>结算时综合单价不予调整。</w:t>
      </w:r>
    </w:p>
    <w:p>
      <w:pPr>
        <w:rPr>
          <w:rFonts w:hint="eastAsia"/>
          <w:color w:val="auto"/>
          <w:highlight w:val="none"/>
        </w:rPr>
      </w:pPr>
    </w:p>
    <w:p>
      <w:pPr>
        <w:pStyle w:val="45"/>
        <w:ind w:firstLine="210"/>
        <w:rPr>
          <w:rFonts w:hint="eastAsia"/>
          <w:color w:val="auto"/>
          <w:highlight w:val="none"/>
        </w:rPr>
      </w:pPr>
    </w:p>
    <w:p>
      <w:pPr>
        <w:spacing w:line="360" w:lineRule="auto"/>
        <w:rPr>
          <w:rFonts w:hint="eastAsia" w:ascii="宋体"/>
          <w:color w:val="auto"/>
          <w:sz w:val="24"/>
          <w:highlight w:val="none"/>
        </w:rPr>
      </w:pPr>
      <w:r>
        <w:rPr>
          <w:rFonts w:hint="eastAsia" w:ascii="宋体"/>
          <w:color w:val="auto"/>
          <w:sz w:val="24"/>
          <w:highlight w:val="none"/>
        </w:rPr>
        <w:t>投标人名称（签章）：</w:t>
      </w:r>
      <w:r>
        <w:rPr>
          <w:rFonts w:hint="eastAsia" w:ascii="宋体"/>
          <w:color w:val="auto"/>
          <w:sz w:val="24"/>
          <w:highlight w:val="none"/>
          <w:u w:val="single"/>
        </w:rPr>
        <w:t xml:space="preserve">                                </w:t>
      </w:r>
    </w:p>
    <w:p>
      <w:pPr>
        <w:spacing w:line="360" w:lineRule="auto"/>
        <w:rPr>
          <w:rFonts w:hint="eastAsia" w:ascii="宋体"/>
          <w:color w:val="auto"/>
          <w:sz w:val="24"/>
          <w:highlight w:val="none"/>
        </w:rPr>
      </w:pPr>
      <w:r>
        <w:rPr>
          <w:rFonts w:hint="eastAsia" w:ascii="宋体"/>
          <w:color w:val="auto"/>
          <w:sz w:val="24"/>
          <w:highlight w:val="none"/>
        </w:rPr>
        <w:t>法定代表人 (签章)：</w:t>
      </w:r>
      <w:r>
        <w:rPr>
          <w:rFonts w:hint="eastAsia" w:ascii="宋体"/>
          <w:color w:val="auto"/>
          <w:sz w:val="24"/>
          <w:highlight w:val="none"/>
          <w:u w:val="single"/>
        </w:rPr>
        <w:t xml:space="preserve">                          </w:t>
      </w:r>
    </w:p>
    <w:p>
      <w:pPr>
        <w:spacing w:line="360" w:lineRule="auto"/>
        <w:rPr>
          <w:rFonts w:hint="eastAsia" w:ascii="宋体"/>
          <w:color w:val="auto"/>
          <w:sz w:val="24"/>
          <w:highlight w:val="none"/>
        </w:rPr>
      </w:pPr>
      <w:r>
        <w:rPr>
          <w:rFonts w:hint="eastAsia" w:ascii="宋体"/>
          <w:color w:val="auto"/>
          <w:sz w:val="24"/>
          <w:highlight w:val="none"/>
        </w:rPr>
        <w:t>日    期：</w:t>
      </w:r>
      <w:r>
        <w:rPr>
          <w:rFonts w:hint="eastAsia" w:ascii="宋体"/>
          <w:color w:val="auto"/>
          <w:sz w:val="24"/>
          <w:highlight w:val="none"/>
          <w:u w:val="single"/>
        </w:rPr>
        <w:t xml:space="preserve">        </w:t>
      </w:r>
      <w:r>
        <w:rPr>
          <w:rFonts w:hint="eastAsia" w:ascii="宋体"/>
          <w:color w:val="auto"/>
          <w:sz w:val="24"/>
          <w:highlight w:val="none"/>
        </w:rPr>
        <w:t>年</w:t>
      </w:r>
      <w:r>
        <w:rPr>
          <w:rFonts w:hint="eastAsia" w:ascii="宋体"/>
          <w:color w:val="auto"/>
          <w:sz w:val="24"/>
          <w:highlight w:val="none"/>
          <w:u w:val="single"/>
        </w:rPr>
        <w:t xml:space="preserve">      </w:t>
      </w:r>
      <w:r>
        <w:rPr>
          <w:rFonts w:hint="eastAsia" w:ascii="宋体"/>
          <w:color w:val="auto"/>
          <w:sz w:val="24"/>
          <w:highlight w:val="none"/>
        </w:rPr>
        <w:t>月</w:t>
      </w:r>
      <w:r>
        <w:rPr>
          <w:rFonts w:hint="eastAsia" w:ascii="宋体"/>
          <w:color w:val="auto"/>
          <w:sz w:val="24"/>
          <w:highlight w:val="none"/>
          <w:u w:val="single"/>
        </w:rPr>
        <w:t xml:space="preserve">      </w:t>
      </w:r>
      <w:r>
        <w:rPr>
          <w:rFonts w:hint="eastAsia" w:ascii="宋体"/>
          <w:color w:val="auto"/>
          <w:sz w:val="24"/>
          <w:highlight w:val="none"/>
        </w:rPr>
        <w:t>日</w:t>
      </w:r>
    </w:p>
    <w:p>
      <w:pPr>
        <w:pStyle w:val="43"/>
        <w:spacing w:beforeLines="50" w:afterLines="50" w:line="440" w:lineRule="exact"/>
        <w:jc w:val="both"/>
        <w:rPr>
          <w:rFonts w:hint="eastAsia" w:ascii="仿宋_GB2312" w:hAnsi="宋体" w:eastAsia="仿宋_GB2312"/>
          <w:b/>
          <w:color w:val="000000"/>
          <w:sz w:val="32"/>
          <w:szCs w:val="32"/>
        </w:rPr>
      </w:pPr>
      <w:r>
        <w:rPr>
          <w:rFonts w:hint="eastAsia"/>
          <w:sz w:val="32"/>
          <w:szCs w:val="32"/>
          <w:highlight w:val="none"/>
        </w:rPr>
        <w:br w:type="page"/>
      </w:r>
      <w:bookmarkEnd w:id="7"/>
      <w:bookmarkEnd w:id="8"/>
      <w:bookmarkEnd w:id="9"/>
      <w:bookmarkEnd w:id="10"/>
      <w:bookmarkEnd w:id="11"/>
      <w:bookmarkEnd w:id="1239"/>
      <w:bookmarkEnd w:id="1240"/>
      <w:bookmarkEnd w:id="1241"/>
      <w:bookmarkEnd w:id="1242"/>
      <w:bookmarkStart w:id="1243" w:name="_Toc78803402"/>
    </w:p>
    <w:p>
      <w:pPr>
        <w:pStyle w:val="43"/>
        <w:spacing w:beforeLines="50" w:afterLines="50" w:line="440" w:lineRule="exact"/>
        <w:rPr>
          <w:bCs/>
          <w:szCs w:val="32"/>
          <w:highlight w:val="none"/>
        </w:rPr>
      </w:pPr>
      <w:r>
        <w:rPr>
          <w:rFonts w:hint="eastAsia"/>
          <w:bCs/>
          <w:szCs w:val="32"/>
          <w:highlight w:val="none"/>
        </w:rPr>
        <w:t>第</w:t>
      </w:r>
      <w:r>
        <w:rPr>
          <w:rFonts w:hint="eastAsia"/>
          <w:bCs/>
          <w:szCs w:val="32"/>
          <w:highlight w:val="none"/>
          <w:lang w:val="en-US" w:eastAsia="zh-CN"/>
        </w:rPr>
        <w:t>七</w:t>
      </w:r>
      <w:r>
        <w:rPr>
          <w:rFonts w:hint="eastAsia"/>
          <w:bCs/>
          <w:szCs w:val="32"/>
          <w:highlight w:val="none"/>
        </w:rPr>
        <w:t>章  招标单位、招标代理机构对本招标文件的确认</w:t>
      </w:r>
      <w:bookmarkEnd w:id="1243"/>
    </w:p>
    <w:p>
      <w:pPr>
        <w:pStyle w:val="20"/>
        <w:rPr>
          <w:highlight w:val="none"/>
        </w:rPr>
      </w:pPr>
    </w:p>
    <w:tbl>
      <w:tblPr>
        <w:tblStyle w:val="46"/>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9" w:hRule="atLeast"/>
          <w:jc w:val="center"/>
        </w:trPr>
        <w:tc>
          <w:tcPr>
            <w:tcW w:w="9580" w:type="dxa"/>
            <w:noWrap/>
          </w:tcPr>
          <w:p>
            <w:pPr>
              <w:wordWrap w:val="0"/>
              <w:adjustRightInd w:val="0"/>
              <w:snapToGrid w:val="0"/>
              <w:spacing w:line="560" w:lineRule="exact"/>
              <w:rPr>
                <w:sz w:val="30"/>
                <w:highlight w:val="none"/>
              </w:rPr>
            </w:pPr>
          </w:p>
          <w:p>
            <w:pPr>
              <w:wordWrap w:val="0"/>
              <w:spacing w:line="560" w:lineRule="exact"/>
              <w:ind w:firstLine="560" w:firstLineChars="200"/>
              <w:rPr>
                <w:sz w:val="28"/>
                <w:szCs w:val="28"/>
                <w:highlight w:val="none"/>
              </w:rPr>
            </w:pPr>
            <w:r>
              <w:rPr>
                <w:rFonts w:hint="eastAsia"/>
                <w:sz w:val="28"/>
                <w:szCs w:val="28"/>
                <w:highlight w:val="none"/>
              </w:rPr>
              <w:t>我单位对</w:t>
            </w:r>
            <w:r>
              <w:rPr>
                <w:rFonts w:hint="eastAsia"/>
                <w:sz w:val="28"/>
                <w:szCs w:val="28"/>
                <w:highlight w:val="none"/>
                <w:u w:val="single"/>
              </w:rPr>
              <w:t xml:space="preserve"> </w:t>
            </w:r>
            <w:r>
              <w:rPr>
                <w:rFonts w:hint="eastAsia"/>
                <w:sz w:val="28"/>
                <w:szCs w:val="28"/>
                <w:highlight w:val="none"/>
                <w:u w:val="single"/>
                <w:lang w:eastAsia="zh-CN"/>
              </w:rPr>
              <w:t>滁宁城际铁路金陵路管线迁改苗木恢复工程</w:t>
            </w:r>
            <w:r>
              <w:rPr>
                <w:rFonts w:hint="eastAsia"/>
                <w:sz w:val="28"/>
                <w:szCs w:val="28"/>
                <w:highlight w:val="none"/>
                <w:u w:val="single"/>
              </w:rPr>
              <w:t xml:space="preserve"> </w:t>
            </w:r>
            <w:r>
              <w:rPr>
                <w:rFonts w:hint="eastAsia"/>
                <w:sz w:val="28"/>
                <w:szCs w:val="28"/>
                <w:highlight w:val="none"/>
              </w:rPr>
              <w:t>的招标文件进行确认。</w:t>
            </w:r>
          </w:p>
          <w:p>
            <w:pPr>
              <w:widowControl/>
              <w:spacing w:line="360" w:lineRule="auto"/>
              <w:ind w:firstLine="560" w:firstLineChars="200"/>
              <w:jc w:val="left"/>
              <w:rPr>
                <w:rFonts w:hint="eastAsia" w:ascii="宋体" w:hAnsi="宋体"/>
                <w:color w:val="auto"/>
                <w:sz w:val="28"/>
                <w:szCs w:val="28"/>
                <w:highlight w:val="none"/>
              </w:rPr>
            </w:pPr>
            <w:r>
              <w:rPr>
                <w:rFonts w:hint="eastAsia" w:ascii="宋体" w:hAnsi="宋体"/>
                <w:color w:val="auto"/>
                <w:sz w:val="28"/>
                <w:szCs w:val="28"/>
                <w:highlight w:val="none"/>
                <w:lang w:val="en-US" w:eastAsia="zh-CN"/>
              </w:rPr>
              <w:t>招标人</w:t>
            </w:r>
            <w:r>
              <w:rPr>
                <w:rFonts w:hint="eastAsia" w:ascii="宋体" w:hAnsi="宋体"/>
                <w:color w:val="auto"/>
                <w:sz w:val="28"/>
                <w:szCs w:val="28"/>
                <w:highlight w:val="none"/>
              </w:rPr>
              <w:t>：</w:t>
            </w:r>
            <w:r>
              <w:rPr>
                <w:rFonts w:hint="eastAsia" w:ascii="宋体" w:hAnsi="宋体"/>
                <w:color w:val="auto"/>
                <w:sz w:val="28"/>
                <w:szCs w:val="28"/>
                <w:highlight w:val="none"/>
                <w:lang w:eastAsia="zh-CN"/>
              </w:rPr>
              <w:t>滁州市滁宁城际铁路开发建设有限公司</w:t>
            </w:r>
            <w:r>
              <w:rPr>
                <w:rFonts w:hint="eastAsia" w:ascii="宋体" w:hAnsi="宋体"/>
                <w:color w:val="auto"/>
                <w:sz w:val="28"/>
                <w:szCs w:val="28"/>
                <w:highlight w:val="none"/>
              </w:rPr>
              <w:t xml:space="preserve">  </w:t>
            </w:r>
          </w:p>
          <w:p>
            <w:pPr>
              <w:adjustRightInd w:val="0"/>
              <w:snapToGrid w:val="0"/>
              <w:spacing w:line="560" w:lineRule="exact"/>
              <w:ind w:firstLine="560" w:firstLineChars="200"/>
              <w:rPr>
                <w:rFonts w:hint="eastAsia" w:ascii="宋体" w:hAnsi="宋体" w:eastAsia="宋体" w:cs="Times New Roman"/>
                <w:color w:val="auto"/>
                <w:sz w:val="28"/>
                <w:szCs w:val="28"/>
                <w:highlight w:val="none"/>
              </w:rPr>
            </w:pPr>
            <w:r>
              <w:rPr>
                <w:rFonts w:hint="eastAsia" w:ascii="宋体" w:hAnsi="宋体" w:eastAsia="宋体" w:cs="Times New Roman"/>
                <w:color w:val="auto"/>
                <w:sz w:val="28"/>
                <w:szCs w:val="28"/>
                <w:highlight w:val="none"/>
              </w:rPr>
              <w:t>联 系 人：</w:t>
            </w:r>
            <w:r>
              <w:rPr>
                <w:rFonts w:hint="eastAsia" w:ascii="宋体" w:hAnsi="宋体" w:cs="Times New Roman"/>
                <w:color w:val="auto"/>
                <w:sz w:val="28"/>
                <w:szCs w:val="28"/>
                <w:highlight w:val="none"/>
                <w:lang w:val="en-US" w:eastAsia="zh-CN"/>
              </w:rPr>
              <w:t>陈俊</w:t>
            </w:r>
            <w:r>
              <w:rPr>
                <w:rFonts w:hint="eastAsia" w:ascii="宋体" w:hAnsi="宋体" w:eastAsia="宋体" w:cs="Times New Roman"/>
                <w:color w:val="auto"/>
                <w:sz w:val="28"/>
                <w:szCs w:val="28"/>
                <w:highlight w:val="none"/>
              </w:rPr>
              <w:t xml:space="preserve"> </w:t>
            </w:r>
            <w:r>
              <w:rPr>
                <w:rFonts w:hint="eastAsia" w:ascii="宋体" w:hAnsi="宋体" w:eastAsia="宋体" w:cs="Times New Roman"/>
                <w:color w:val="auto"/>
                <w:sz w:val="28"/>
                <w:szCs w:val="28"/>
                <w:highlight w:val="none"/>
                <w:lang w:val="en-US" w:eastAsia="zh-CN"/>
              </w:rPr>
              <w:t xml:space="preserve"> </w:t>
            </w:r>
          </w:p>
          <w:p>
            <w:pPr>
              <w:adjustRightInd w:val="0"/>
              <w:snapToGrid w:val="0"/>
              <w:spacing w:line="560" w:lineRule="exact"/>
              <w:ind w:firstLine="560" w:firstLineChars="200"/>
              <w:rPr>
                <w:rFonts w:hint="eastAsia" w:ascii="宋体" w:hAnsi="宋体" w:eastAsia="宋体" w:cs="Times New Roman"/>
                <w:color w:val="auto"/>
                <w:sz w:val="28"/>
                <w:szCs w:val="28"/>
                <w:highlight w:val="none"/>
                <w:lang w:val="en-US" w:eastAsia="zh-CN"/>
              </w:rPr>
            </w:pPr>
            <w:r>
              <w:rPr>
                <w:rFonts w:hint="eastAsia" w:ascii="宋体" w:hAnsi="宋体" w:eastAsia="宋体" w:cs="Times New Roman"/>
                <w:color w:val="auto"/>
                <w:sz w:val="28"/>
                <w:szCs w:val="28"/>
                <w:highlight w:val="none"/>
              </w:rPr>
              <w:t>联系电话：</w:t>
            </w:r>
            <w:r>
              <w:rPr>
                <w:rFonts w:hint="eastAsia" w:ascii="宋体" w:hAnsi="宋体" w:cs="Times New Roman"/>
                <w:color w:val="auto"/>
                <w:sz w:val="28"/>
                <w:szCs w:val="28"/>
                <w:highlight w:val="none"/>
                <w:lang w:val="en-US" w:eastAsia="zh-CN"/>
              </w:rPr>
              <w:t>18949108929</w:t>
            </w:r>
          </w:p>
          <w:p>
            <w:pPr>
              <w:wordWrap w:val="0"/>
              <w:spacing w:line="560" w:lineRule="exact"/>
              <w:ind w:firstLine="560" w:firstLineChars="200"/>
              <w:rPr>
                <w:rFonts w:ascii="宋体" w:hAnsi="宋体"/>
                <w:sz w:val="28"/>
                <w:szCs w:val="28"/>
                <w:highlight w:val="none"/>
              </w:rPr>
            </w:pPr>
            <w:r>
              <w:rPr>
                <w:rFonts w:hint="eastAsia" w:ascii="宋体" w:hAnsi="宋体"/>
                <w:color w:val="auto"/>
                <w:sz w:val="28"/>
                <w:szCs w:val="28"/>
                <w:highlight w:val="none"/>
              </w:rPr>
              <w:t xml:space="preserve">    </w:t>
            </w:r>
            <w:r>
              <w:rPr>
                <w:rFonts w:hint="eastAsia" w:ascii="宋体" w:hAnsi="宋体"/>
                <w:color w:val="auto"/>
                <w:sz w:val="28"/>
                <w:szCs w:val="28"/>
                <w:highlight w:val="none"/>
                <w:lang w:val="en-US" w:eastAsia="zh-CN"/>
              </w:rPr>
              <w:t xml:space="preserve">    </w:t>
            </w:r>
          </w:p>
          <w:p>
            <w:pPr>
              <w:wordWrap w:val="0"/>
              <w:spacing w:line="560" w:lineRule="exact"/>
              <w:ind w:firstLine="560" w:firstLineChars="200"/>
              <w:rPr>
                <w:rFonts w:ascii="宋体" w:hAnsi="宋体"/>
                <w:sz w:val="28"/>
                <w:szCs w:val="28"/>
                <w:highlight w:val="none"/>
              </w:rPr>
            </w:pPr>
          </w:p>
          <w:p>
            <w:pPr>
              <w:wordWrap w:val="0"/>
              <w:spacing w:line="560" w:lineRule="exact"/>
              <w:ind w:firstLine="560" w:firstLineChars="200"/>
              <w:rPr>
                <w:rFonts w:ascii="宋体" w:hAnsi="宋体"/>
                <w:sz w:val="28"/>
                <w:szCs w:val="28"/>
                <w:highlight w:val="none"/>
              </w:rPr>
            </w:pPr>
          </w:p>
          <w:p>
            <w:pPr>
              <w:wordWrap w:val="0"/>
              <w:spacing w:line="560" w:lineRule="exact"/>
              <w:ind w:firstLine="5740" w:firstLineChars="2050"/>
              <w:rPr>
                <w:rFonts w:ascii="宋体" w:hAnsi="宋体"/>
                <w:sz w:val="28"/>
                <w:szCs w:val="28"/>
                <w:highlight w:val="none"/>
              </w:rPr>
            </w:pPr>
            <w:r>
              <w:rPr>
                <w:rFonts w:hint="eastAsia" w:ascii="宋体" w:hAnsi="宋体"/>
                <w:sz w:val="28"/>
                <w:szCs w:val="28"/>
                <w:highlight w:val="none"/>
              </w:rPr>
              <w:t>（单位盖章）</w:t>
            </w:r>
          </w:p>
          <w:p>
            <w:pPr>
              <w:spacing w:line="560" w:lineRule="exact"/>
              <w:ind w:firstLine="5880" w:firstLineChars="2100"/>
              <w:rPr>
                <w:rFonts w:ascii="宋体" w:hAnsi="宋体"/>
                <w:sz w:val="28"/>
                <w:szCs w:val="28"/>
                <w:highlight w:val="none"/>
              </w:rPr>
            </w:pPr>
            <w:r>
              <w:rPr>
                <w:rFonts w:hint="eastAsia" w:ascii="宋体" w:hAnsi="宋体"/>
                <w:sz w:val="28"/>
                <w:szCs w:val="28"/>
                <w:highlight w:val="none"/>
              </w:rPr>
              <w:t>202</w:t>
            </w:r>
            <w:r>
              <w:rPr>
                <w:rFonts w:hint="eastAsia" w:ascii="宋体" w:hAnsi="宋体"/>
                <w:sz w:val="28"/>
                <w:szCs w:val="28"/>
                <w:highlight w:val="none"/>
                <w:lang w:val="en-US" w:eastAsia="zh-CN"/>
              </w:rPr>
              <w:t>4</w:t>
            </w:r>
            <w:r>
              <w:rPr>
                <w:rFonts w:hint="eastAsia" w:ascii="宋体" w:hAnsi="宋体"/>
                <w:sz w:val="28"/>
                <w:szCs w:val="28"/>
                <w:highlight w:val="none"/>
              </w:rPr>
              <w:t>年</w:t>
            </w:r>
            <w:r>
              <w:rPr>
                <w:rFonts w:hint="eastAsia" w:ascii="宋体" w:hAnsi="宋体"/>
                <w:sz w:val="28"/>
                <w:szCs w:val="28"/>
                <w:highlight w:val="none"/>
                <w:lang w:val="en-US" w:eastAsia="zh-CN"/>
              </w:rPr>
              <w:t>12</w:t>
            </w:r>
            <w:r>
              <w:rPr>
                <w:rFonts w:hint="eastAsia" w:ascii="宋体" w:hAnsi="宋体"/>
                <w:sz w:val="28"/>
                <w:szCs w:val="28"/>
                <w:highlight w:val="none"/>
              </w:rPr>
              <w:t>月</w:t>
            </w:r>
          </w:p>
          <w:p>
            <w:pPr>
              <w:pStyle w:val="2"/>
              <w:ind w:firstLine="42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6" w:hRule="atLeast"/>
          <w:jc w:val="center"/>
        </w:trPr>
        <w:tc>
          <w:tcPr>
            <w:tcW w:w="9580" w:type="dxa"/>
            <w:noWrap/>
          </w:tcPr>
          <w:p>
            <w:pPr>
              <w:spacing w:line="560" w:lineRule="exact"/>
              <w:ind w:firstLine="560" w:firstLineChars="200"/>
              <w:rPr>
                <w:rFonts w:ascii="宋体" w:hAnsi="宋体" w:cs="宋体"/>
                <w:sz w:val="28"/>
                <w:szCs w:val="28"/>
                <w:highlight w:val="none"/>
              </w:rPr>
            </w:pPr>
          </w:p>
          <w:p>
            <w:pPr>
              <w:spacing w:line="560" w:lineRule="exact"/>
              <w:ind w:firstLine="560" w:firstLineChars="200"/>
              <w:rPr>
                <w:rFonts w:ascii="宋体" w:hAnsi="宋体" w:cs="宋体"/>
                <w:sz w:val="28"/>
                <w:szCs w:val="28"/>
                <w:highlight w:val="none"/>
                <w:u w:val="single"/>
              </w:rPr>
            </w:pPr>
            <w:r>
              <w:rPr>
                <w:rFonts w:hint="eastAsia" w:ascii="宋体" w:hAnsi="宋体" w:cs="宋体"/>
                <w:sz w:val="28"/>
                <w:szCs w:val="28"/>
                <w:highlight w:val="none"/>
              </w:rPr>
              <w:t>招标代理机构：</w:t>
            </w:r>
            <w:r>
              <w:rPr>
                <w:rFonts w:hint="eastAsia"/>
                <w:sz w:val="28"/>
                <w:szCs w:val="28"/>
                <w:highlight w:val="none"/>
              </w:rPr>
              <w:t>滁州市城投工程咨询管理有限公司</w:t>
            </w:r>
          </w:p>
          <w:p>
            <w:pPr>
              <w:spacing w:line="560" w:lineRule="exact"/>
              <w:ind w:firstLine="560" w:firstLineChars="200"/>
              <w:rPr>
                <w:rFonts w:hint="default" w:ascii="宋体" w:hAnsi="宋体" w:eastAsia="宋体" w:cs="宋体"/>
                <w:sz w:val="28"/>
                <w:szCs w:val="28"/>
                <w:highlight w:val="none"/>
                <w:u w:val="single"/>
                <w:lang w:val="en-US" w:eastAsia="zh-CN"/>
              </w:rPr>
            </w:pPr>
            <w:r>
              <w:rPr>
                <w:rFonts w:hint="eastAsia" w:ascii="宋体" w:hAnsi="宋体" w:cs="宋体"/>
                <w:sz w:val="28"/>
                <w:szCs w:val="28"/>
                <w:highlight w:val="none"/>
              </w:rPr>
              <w:t>联 系 人：</w:t>
            </w:r>
            <w:r>
              <w:rPr>
                <w:rFonts w:hint="eastAsia" w:ascii="宋体" w:hAnsi="宋体" w:cs="宋体"/>
                <w:sz w:val="28"/>
                <w:szCs w:val="28"/>
                <w:highlight w:val="none"/>
                <w:lang w:val="en-US" w:eastAsia="zh-CN"/>
              </w:rPr>
              <w:t>周蓓蕾</w:t>
            </w:r>
          </w:p>
          <w:p>
            <w:pPr>
              <w:spacing w:line="560" w:lineRule="exact"/>
              <w:ind w:firstLine="560" w:firstLineChars="200"/>
              <w:rPr>
                <w:rFonts w:hint="eastAsia" w:ascii="宋体" w:hAnsi="宋体" w:eastAsia="宋体" w:cs="宋体"/>
                <w:sz w:val="28"/>
                <w:szCs w:val="28"/>
                <w:highlight w:val="none"/>
                <w:lang w:val="en-US" w:eastAsia="zh-CN"/>
              </w:rPr>
            </w:pPr>
            <w:r>
              <w:rPr>
                <w:rFonts w:hint="eastAsia" w:ascii="宋体" w:hAnsi="宋体" w:cs="宋体"/>
                <w:sz w:val="28"/>
                <w:szCs w:val="28"/>
                <w:highlight w:val="none"/>
              </w:rPr>
              <w:t>联系电话：0550-351951</w:t>
            </w:r>
            <w:r>
              <w:rPr>
                <w:rFonts w:hint="eastAsia" w:ascii="宋体" w:hAnsi="宋体" w:cs="宋体"/>
                <w:sz w:val="28"/>
                <w:szCs w:val="28"/>
                <w:highlight w:val="none"/>
                <w:lang w:val="en-US" w:eastAsia="zh-CN"/>
              </w:rPr>
              <w:t>9</w:t>
            </w:r>
            <w:r>
              <w:rPr>
                <w:rFonts w:hint="eastAsia" w:ascii="宋体" w:hAnsi="宋体" w:cs="宋体"/>
                <w:sz w:val="28"/>
                <w:szCs w:val="28"/>
                <w:highlight w:val="none"/>
              </w:rPr>
              <w:t>、</w:t>
            </w:r>
            <w:r>
              <w:rPr>
                <w:rFonts w:hint="eastAsia" w:ascii="宋体" w:hAnsi="宋体" w:cs="宋体"/>
                <w:sz w:val="28"/>
                <w:szCs w:val="28"/>
                <w:highlight w:val="none"/>
                <w:lang w:eastAsia="zh-CN"/>
              </w:rPr>
              <w:t>18005505728</w:t>
            </w:r>
          </w:p>
          <w:p>
            <w:pPr>
              <w:spacing w:line="560" w:lineRule="exact"/>
              <w:ind w:firstLine="5040" w:firstLineChars="1800"/>
              <w:rPr>
                <w:rFonts w:ascii="宋体" w:hAnsi="宋体" w:cs="宋体"/>
                <w:sz w:val="28"/>
                <w:szCs w:val="28"/>
                <w:highlight w:val="none"/>
              </w:rPr>
            </w:pPr>
          </w:p>
          <w:p>
            <w:pPr>
              <w:spacing w:line="560" w:lineRule="exact"/>
              <w:ind w:firstLine="5460" w:firstLineChars="1950"/>
              <w:rPr>
                <w:rFonts w:ascii="宋体" w:hAnsi="宋体" w:cs="宋体"/>
                <w:sz w:val="28"/>
                <w:szCs w:val="28"/>
                <w:highlight w:val="none"/>
              </w:rPr>
            </w:pPr>
          </w:p>
          <w:p>
            <w:pPr>
              <w:spacing w:line="560" w:lineRule="exact"/>
              <w:ind w:firstLine="5880" w:firstLineChars="2100"/>
              <w:rPr>
                <w:rFonts w:ascii="宋体" w:hAnsi="宋体" w:cs="宋体"/>
                <w:sz w:val="28"/>
                <w:szCs w:val="28"/>
                <w:highlight w:val="none"/>
              </w:rPr>
            </w:pPr>
            <w:r>
              <w:rPr>
                <w:rFonts w:hint="eastAsia" w:ascii="宋体" w:hAnsi="宋体" w:cs="宋体"/>
                <w:sz w:val="28"/>
                <w:szCs w:val="28"/>
                <w:highlight w:val="none"/>
              </w:rPr>
              <w:t>（单位盖章）</w:t>
            </w:r>
          </w:p>
          <w:p>
            <w:pPr>
              <w:spacing w:line="560" w:lineRule="exact"/>
              <w:ind w:firstLine="6020" w:firstLineChars="2150"/>
              <w:rPr>
                <w:rFonts w:ascii="宋体" w:hAnsi="宋体"/>
                <w:sz w:val="28"/>
                <w:szCs w:val="28"/>
                <w:highlight w:val="none"/>
              </w:rPr>
            </w:pPr>
            <w:r>
              <w:rPr>
                <w:rFonts w:hint="eastAsia" w:ascii="宋体" w:hAnsi="宋体"/>
                <w:sz w:val="28"/>
                <w:szCs w:val="28"/>
                <w:highlight w:val="none"/>
              </w:rPr>
              <w:t>202</w:t>
            </w:r>
            <w:r>
              <w:rPr>
                <w:rFonts w:hint="eastAsia" w:ascii="宋体" w:hAnsi="宋体"/>
                <w:sz w:val="28"/>
                <w:szCs w:val="28"/>
                <w:highlight w:val="none"/>
                <w:lang w:val="en-US" w:eastAsia="zh-CN"/>
              </w:rPr>
              <w:t>4</w:t>
            </w:r>
            <w:r>
              <w:rPr>
                <w:rFonts w:hint="eastAsia" w:ascii="宋体" w:hAnsi="宋体"/>
                <w:sz w:val="28"/>
                <w:szCs w:val="28"/>
                <w:highlight w:val="none"/>
              </w:rPr>
              <w:t>年</w:t>
            </w:r>
            <w:r>
              <w:rPr>
                <w:rFonts w:hint="eastAsia" w:ascii="宋体" w:hAnsi="宋体"/>
                <w:sz w:val="28"/>
                <w:szCs w:val="28"/>
                <w:highlight w:val="none"/>
                <w:lang w:val="en-US" w:eastAsia="zh-CN"/>
              </w:rPr>
              <w:t>12</w:t>
            </w:r>
            <w:r>
              <w:rPr>
                <w:rFonts w:hint="eastAsia" w:ascii="宋体" w:hAnsi="宋体"/>
                <w:sz w:val="28"/>
                <w:szCs w:val="28"/>
                <w:highlight w:val="none"/>
              </w:rPr>
              <w:t>月</w:t>
            </w:r>
          </w:p>
          <w:p>
            <w:pPr>
              <w:pStyle w:val="2"/>
              <w:ind w:firstLine="420"/>
              <w:rPr>
                <w:highlight w:val="none"/>
              </w:rPr>
            </w:pPr>
          </w:p>
        </w:tc>
      </w:tr>
    </w:tbl>
    <w:p/>
    <w:sectPr>
      <w:headerReference r:id="rId15" w:type="default"/>
      <w:footerReference r:id="rId16" w:type="default"/>
      <w:pgSz w:w="11906" w:h="16838"/>
      <w:pgMar w:top="1134" w:right="1417" w:bottom="1134" w:left="141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50"/>
      </w:rPr>
    </w:pPr>
  </w:p>
  <w:p>
    <w:pPr>
      <w:pStyle w:val="3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50"/>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1</w:t>
                    </w:r>
                    <w:r>
                      <w:fldChar w:fldCharType="end"/>
                    </w:r>
                  </w:p>
                </w:txbxContent>
              </v:textbox>
            </v:shape>
          </w:pict>
        </mc:Fallback>
      </mc:AlternateContent>
    </w:r>
  </w:p>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50"/>
      </w:rPr>
    </w:pPr>
  </w:p>
  <w:p>
    <w:pPr>
      <w:pStyle w:val="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firstLine="400"/>
      <w:jc w:val="center"/>
      <w:rPr>
        <w:rFonts w:eastAsia="仿宋_GB2312"/>
        <w:sz w:val="20"/>
        <w:szCs w:val="20"/>
      </w:rPr>
    </w:pPr>
    <w:r>
      <w:rPr>
        <w:sz w:val="20"/>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DDS/3YAQAAsQ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MMNL/dgBAACxAwAADgAAAAAAAAAB&#10;ACAAAAAiAQAAZHJzL2Uyb0RvYy54bWxQSwUGAAAAAAYABgBZAQAAbAUAAAAA&#10;">
              <v:fill on="f" focussize="0,0"/>
              <v:stroke on="f" weight="1.25pt"/>
              <v:imagedata o:title=""/>
              <o:lock v:ext="edit" aspectratio="f"/>
              <v:textbox inset="0mm,0mm,0mm,0mm" style="mso-fit-shape-to-text:t;">
                <w:txbxContent>
                  <w:p>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firstLine="36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MxMXl1wEAALEDAAAOAAAAAAAAAAEA&#10;IAAAACIBAABkcnMvZTJvRG9jLnhtbFBLBQYAAAAABgAGAFkBAABrBQAAAAA=&#10;">
              <v:fill on="f" focussize="0,0"/>
              <v:stroke on="f" weight="1.25pt"/>
              <v:imagedata o:title=""/>
              <o:lock v:ext="edit" aspectratio="f"/>
              <v:textbox inset="0mm,0mm,0mm,0mm" style="mso-fit-shape-to-text:t;">
                <w:txbxContent>
                  <w:p>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firstLine="400"/>
      <w:jc w:val="center"/>
      <w:rPr>
        <w:rFonts w:eastAsia="仿宋_GB2312"/>
        <w:sz w:val="20"/>
        <w:szCs w:val="20"/>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0"/>
                            <w:ind w:firstLine="400"/>
                            <w:jc w:val="center"/>
                            <w:rPr>
                              <w:rFonts w:ascii="宋体" w:cs="宋体"/>
                              <w:sz w:val="24"/>
                              <w:szCs w:val="24"/>
                            </w:rPr>
                          </w:pPr>
                          <w:r>
                            <w:rPr>
                              <w:rFonts w:ascii="宋体" w:hAnsi="宋体" w:cs="宋体"/>
                              <w:sz w:val="24"/>
                              <w:szCs w:val="24"/>
                            </w:rPr>
                            <w:fldChar w:fldCharType="begin"/>
                          </w:r>
                          <w:r>
                            <w:rPr>
                              <w:rFonts w:ascii="宋体" w:hAnsi="宋体" w:cs="宋体"/>
                              <w:sz w:val="24"/>
                              <w:szCs w:val="24"/>
                            </w:rPr>
                            <w:instrText xml:space="preserve"> PAGE  \* MERGEFORMAT </w:instrText>
                          </w:r>
                          <w:r>
                            <w:rPr>
                              <w:rFonts w:ascii="宋体" w:hAnsi="宋体" w:cs="宋体"/>
                              <w:sz w:val="24"/>
                              <w:szCs w:val="24"/>
                            </w:rPr>
                            <w:fldChar w:fldCharType="separate"/>
                          </w:r>
                          <w:r>
                            <w:rPr>
                              <w:rFonts w:ascii="宋体" w:hAnsi="宋体" w:cs="宋体"/>
                              <w:sz w:val="24"/>
                              <w:szCs w:val="24"/>
                            </w:rPr>
                            <w:t>2</w:t>
                          </w:r>
                          <w:r>
                            <w:rPr>
                              <w:rFonts w:ascii="宋体" w:hAnsi="宋体" w:cs="宋体"/>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PTBtM4BAACnAwAADgAAAGRycy9lMm9Eb2MueG1srVPNjtMwEL4j8Q6W&#10;7zRpV0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j0wbTOAQAApwMAAA4AAAAAAAAAAQAgAAAAHgEAAGRycy9l&#10;Mm9Eb2MueG1sUEsFBgAAAAAGAAYAWQEAAF4FAAAAAA==&#10;">
              <v:fill on="f" focussize="0,0"/>
              <v:stroke on="f"/>
              <v:imagedata o:title=""/>
              <o:lock v:ext="edit" aspectratio="f"/>
              <v:textbox inset="0mm,0mm,0mm,0mm" style="mso-fit-shape-to-text:t;">
                <w:txbxContent>
                  <w:p>
                    <w:pPr>
                      <w:pStyle w:val="30"/>
                      <w:ind w:firstLine="400"/>
                      <w:jc w:val="center"/>
                      <w:rPr>
                        <w:rFonts w:ascii="宋体" w:cs="宋体"/>
                        <w:sz w:val="24"/>
                        <w:szCs w:val="24"/>
                      </w:rPr>
                    </w:pPr>
                    <w:r>
                      <w:rPr>
                        <w:rFonts w:ascii="宋体" w:hAnsi="宋体" w:cs="宋体"/>
                        <w:sz w:val="24"/>
                        <w:szCs w:val="24"/>
                      </w:rPr>
                      <w:fldChar w:fldCharType="begin"/>
                    </w:r>
                    <w:r>
                      <w:rPr>
                        <w:rFonts w:ascii="宋体" w:hAnsi="宋体" w:cs="宋体"/>
                        <w:sz w:val="24"/>
                        <w:szCs w:val="24"/>
                      </w:rPr>
                      <w:instrText xml:space="preserve"> PAGE  \* MERGEFORMAT </w:instrText>
                    </w:r>
                    <w:r>
                      <w:rPr>
                        <w:rFonts w:ascii="宋体" w:hAnsi="宋体" w:cs="宋体"/>
                        <w:sz w:val="24"/>
                        <w:szCs w:val="24"/>
                      </w:rPr>
                      <w:fldChar w:fldCharType="separate"/>
                    </w:r>
                    <w:r>
                      <w:rPr>
                        <w:rFonts w:ascii="宋体" w:hAnsi="宋体" w:cs="宋体"/>
                        <w:sz w:val="24"/>
                        <w:szCs w:val="24"/>
                      </w:rPr>
                      <w:t>2</w:t>
                    </w:r>
                    <w:r>
                      <w:rPr>
                        <w:rFonts w:ascii="宋体" w:hAnsi="宋体" w:cs="宋体"/>
                        <w:sz w:val="24"/>
                        <w:szCs w:val="2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firstLine="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0"/>
                          </w:pPr>
                          <w:r>
                            <w:fldChar w:fldCharType="begin"/>
                          </w:r>
                          <w:r>
                            <w:instrText xml:space="preserve"> PAGE  \* MERGEFORMAT </w:instrText>
                          </w:r>
                          <w:r>
                            <w:fldChar w:fldCharType="separate"/>
                          </w:r>
                          <w:r>
                            <w:t>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NJWO7QAAAABQEAAA8AAAAAAAAAAQAgAAAAIgAA&#10;AGRycy9kb3ducmV2LnhtbFBLAQIUABQAAAAIAIdO4kCReiSQ1wEAALIDAAAOAAAAAAAAAAEAIAAA&#10;AB8BAABkcnMvZTJvRG9jLnhtbFBLBQYAAAAABgAGAFkBAABoBQAAAAA=&#10;">
              <v:fill on="f" focussize="0,0"/>
              <v:stroke on="f" weight="0.5pt"/>
              <v:imagedata o:title=""/>
              <o:lock v:ext="edit" aspectratio="f"/>
              <v:textbox inset="0mm,0mm,0mm,0mm" style="mso-fit-shape-to-text:t;">
                <w:txbxContent>
                  <w:p>
                    <w:pPr>
                      <w:pStyle w:val="3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rFonts w:ascii="宋体" w:cs="宋体"/>
        <w:sz w:val="28"/>
        <w:szCs w:val="28"/>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0"/>
                            <w:rPr>
                              <w:rFonts w:ascii="宋体" w:cs="宋体"/>
                              <w:sz w:val="24"/>
                              <w:szCs w:val="24"/>
                            </w:rPr>
                          </w:pPr>
                          <w:r>
                            <w:rPr>
                              <w:rFonts w:ascii="宋体" w:hAnsi="宋体" w:cs="宋体"/>
                              <w:sz w:val="24"/>
                              <w:szCs w:val="24"/>
                            </w:rPr>
                            <w:fldChar w:fldCharType="begin"/>
                          </w:r>
                          <w:r>
                            <w:rPr>
                              <w:rFonts w:ascii="宋体" w:hAnsi="宋体" w:cs="宋体"/>
                              <w:sz w:val="24"/>
                              <w:szCs w:val="24"/>
                            </w:rPr>
                            <w:instrText xml:space="preserve"> PAGE  \* MERGEFORMAT </w:instrText>
                          </w:r>
                          <w:r>
                            <w:rPr>
                              <w:rFonts w:ascii="宋体" w:hAnsi="宋体" w:cs="宋体"/>
                              <w:sz w:val="24"/>
                              <w:szCs w:val="24"/>
                            </w:rPr>
                            <w:fldChar w:fldCharType="separate"/>
                          </w:r>
                          <w:r>
                            <w:rPr>
                              <w:rFonts w:ascii="宋体" w:hAnsi="宋体" w:cs="宋体"/>
                              <w:sz w:val="24"/>
                              <w:szCs w:val="24"/>
                            </w:rPr>
                            <w:t>3</w:t>
                          </w:r>
                          <w:r>
                            <w:rPr>
                              <w:rFonts w:ascii="宋体" w:hAnsi="宋体" w:cs="宋体"/>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NJWO7QAAAABQEAAA8AAAAAAAAAAQAgAAAAIgAA&#10;AGRycy9kb3ducmV2LnhtbFBLAQIUABQAAAAIAIdO4kDq5yay1wEAALIDAAAOAAAAAAAAAAEAIAAA&#10;AB8BAABkcnMvZTJvRG9jLnhtbFBLBQYAAAAABgAGAFkBAABoBQAAAAA=&#10;">
              <v:fill on="f" focussize="0,0"/>
              <v:stroke on="f" weight="0.5pt"/>
              <v:imagedata o:title=""/>
              <o:lock v:ext="edit" aspectratio="f"/>
              <v:textbox inset="0mm,0mm,0mm,0mm" style="mso-fit-shape-to-text:t;">
                <w:txbxContent>
                  <w:p>
                    <w:pPr>
                      <w:pStyle w:val="30"/>
                      <w:rPr>
                        <w:rFonts w:ascii="宋体" w:cs="宋体"/>
                        <w:sz w:val="24"/>
                        <w:szCs w:val="24"/>
                      </w:rPr>
                    </w:pPr>
                    <w:r>
                      <w:rPr>
                        <w:rFonts w:ascii="宋体" w:hAnsi="宋体" w:cs="宋体"/>
                        <w:sz w:val="24"/>
                        <w:szCs w:val="24"/>
                      </w:rPr>
                      <w:fldChar w:fldCharType="begin"/>
                    </w:r>
                    <w:r>
                      <w:rPr>
                        <w:rFonts w:ascii="宋体" w:hAnsi="宋体" w:cs="宋体"/>
                        <w:sz w:val="24"/>
                        <w:szCs w:val="24"/>
                      </w:rPr>
                      <w:instrText xml:space="preserve"> PAGE  \* MERGEFORMAT </w:instrText>
                    </w:r>
                    <w:r>
                      <w:rPr>
                        <w:rFonts w:ascii="宋体" w:hAnsi="宋体" w:cs="宋体"/>
                        <w:sz w:val="24"/>
                        <w:szCs w:val="24"/>
                      </w:rPr>
                      <w:fldChar w:fldCharType="separate"/>
                    </w:r>
                    <w:r>
                      <w:rPr>
                        <w:rFonts w:ascii="宋体" w:hAnsi="宋体" w:cs="宋体"/>
                        <w:sz w:val="24"/>
                        <w:szCs w:val="24"/>
                      </w:rPr>
                      <w:t>3</w:t>
                    </w:r>
                    <w:r>
                      <w:rPr>
                        <w:rFonts w:ascii="宋体" w:hAnsi="宋体" w:cs="宋体"/>
                        <w:sz w:val="24"/>
                        <w:szCs w:val="24"/>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jc w:val="center"/>
                            <w:rPr>
                              <w:rFonts w:ascii="宋体" w:cs="宋体"/>
                              <w:sz w:val="28"/>
                              <w:szCs w:val="28"/>
                            </w:rPr>
                          </w:pPr>
                          <w:r>
                            <w:rPr>
                              <w:rFonts w:ascii="宋体" w:hAnsi="宋体" w:cs="宋体"/>
                              <w:sz w:val="24"/>
                              <w:szCs w:val="24"/>
                            </w:rPr>
                            <w:fldChar w:fldCharType="begin"/>
                          </w:r>
                          <w:r>
                            <w:rPr>
                              <w:rFonts w:ascii="宋体" w:hAnsi="宋体" w:cs="宋体"/>
                              <w:sz w:val="24"/>
                              <w:szCs w:val="24"/>
                            </w:rPr>
                            <w:instrText xml:space="preserve"> PAGE  \* MERGEFORMAT </w:instrText>
                          </w:r>
                          <w:r>
                            <w:rPr>
                              <w:rFonts w:ascii="宋体" w:hAnsi="宋体" w:cs="宋体"/>
                              <w:sz w:val="24"/>
                              <w:szCs w:val="24"/>
                            </w:rPr>
                            <w:fldChar w:fldCharType="separate"/>
                          </w:r>
                          <w:r>
                            <w:rPr>
                              <w:rFonts w:ascii="宋体" w:hAnsi="宋体" w:cs="宋体"/>
                              <w:sz w:val="24"/>
                              <w:szCs w:val="24"/>
                            </w:rPr>
                            <w:t>55</w:t>
                          </w:r>
                          <w:r>
                            <w:rPr>
                              <w:rFonts w:ascii="宋体" w:hAnsi="宋体" w:cs="宋体"/>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Z3r480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eOBl3mKdHfHiONlCdNHUZYYpgcer/Mddq1tCCP/Vz18H9t/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6Z3r480BAACnAwAADgAAAAAAAAABACAAAAAeAQAAZHJzL2Uy&#10;b0RvYy54bWxQSwUGAAAAAAYABgBZAQAAXQUAAAAA&#10;">
              <v:fill on="f" focussize="0,0"/>
              <v:stroke on="f"/>
              <v:imagedata o:title=""/>
              <o:lock v:ext="edit" aspectratio="f"/>
              <v:textbox inset="0mm,0mm,0mm,0mm" style="mso-fit-shape-to-text:t;">
                <w:txbxContent>
                  <w:p>
                    <w:pPr>
                      <w:jc w:val="center"/>
                      <w:rPr>
                        <w:rFonts w:ascii="宋体" w:cs="宋体"/>
                        <w:sz w:val="28"/>
                        <w:szCs w:val="28"/>
                      </w:rPr>
                    </w:pPr>
                    <w:r>
                      <w:rPr>
                        <w:rFonts w:ascii="宋体" w:hAnsi="宋体" w:cs="宋体"/>
                        <w:sz w:val="24"/>
                        <w:szCs w:val="24"/>
                      </w:rPr>
                      <w:fldChar w:fldCharType="begin"/>
                    </w:r>
                    <w:r>
                      <w:rPr>
                        <w:rFonts w:ascii="宋体" w:hAnsi="宋体" w:cs="宋体"/>
                        <w:sz w:val="24"/>
                        <w:szCs w:val="24"/>
                      </w:rPr>
                      <w:instrText xml:space="preserve"> PAGE  \* MERGEFORMAT </w:instrText>
                    </w:r>
                    <w:r>
                      <w:rPr>
                        <w:rFonts w:ascii="宋体" w:hAnsi="宋体" w:cs="宋体"/>
                        <w:sz w:val="24"/>
                        <w:szCs w:val="24"/>
                      </w:rPr>
                      <w:fldChar w:fldCharType="separate"/>
                    </w:r>
                    <w:r>
                      <w:rPr>
                        <w:rFonts w:ascii="宋体" w:hAnsi="宋体" w:cs="宋体"/>
                        <w:sz w:val="24"/>
                        <w:szCs w:val="24"/>
                      </w:rPr>
                      <w:t>55</w:t>
                    </w:r>
                    <w:r>
                      <w:rPr>
                        <w:rFonts w:ascii="宋体" w:hAnsi="宋体" w:cs="宋体"/>
                        <w:sz w:val="24"/>
                        <w:szCs w:val="24"/>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rFonts w:ascii="宋体" w:cs="宋体"/>
        <w:sz w:val="28"/>
        <w:szCs w:val="28"/>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0"/>
                            <w:rPr>
                              <w:rFonts w:ascii="宋体" w:cs="宋体"/>
                              <w:sz w:val="24"/>
                              <w:szCs w:val="24"/>
                            </w:rPr>
                          </w:pPr>
                          <w:r>
                            <w:rPr>
                              <w:rFonts w:ascii="宋体" w:hAnsi="宋体" w:cs="宋体"/>
                              <w:sz w:val="24"/>
                              <w:szCs w:val="24"/>
                            </w:rPr>
                            <w:fldChar w:fldCharType="begin"/>
                          </w:r>
                          <w:r>
                            <w:rPr>
                              <w:rFonts w:ascii="宋体" w:hAnsi="宋体" w:cs="宋体"/>
                              <w:sz w:val="24"/>
                              <w:szCs w:val="24"/>
                            </w:rPr>
                            <w:instrText xml:space="preserve"> PAGE  \* MERGEFORMAT </w:instrText>
                          </w:r>
                          <w:r>
                            <w:rPr>
                              <w:rFonts w:ascii="宋体" w:hAnsi="宋体" w:cs="宋体"/>
                              <w:sz w:val="24"/>
                              <w:szCs w:val="24"/>
                            </w:rPr>
                            <w:fldChar w:fldCharType="separate"/>
                          </w:r>
                          <w:r>
                            <w:rPr>
                              <w:rFonts w:ascii="宋体" w:hAnsi="宋体" w:cs="宋体"/>
                              <w:sz w:val="24"/>
                              <w:szCs w:val="24"/>
                            </w:rPr>
                            <w:t>54</w:t>
                          </w:r>
                          <w:r>
                            <w:rPr>
                              <w:rFonts w:ascii="宋体" w:hAnsi="宋体" w:cs="宋体"/>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q43ljXAQAAsA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YpV+ZdmGASpbH1ZMVhN0w8d645&#10;Ic0e94FRi+tPiX6wKHdandkIs7GbjYMPat9hx8tcHfz7Q8TecsupwgiLVJODg8ykp6VLm/K3n7Oe&#10;f7TN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NJWO7QAAAABQEAAA8AAAAAAAAAAQAgAAAAIgAA&#10;AGRycy9kb3ducmV2LnhtbFBLAQIUABQAAAAIAIdO4kAKuN5Y1wEAALADAAAOAAAAAAAAAAEAIAAA&#10;AB8BAABkcnMvZTJvRG9jLnhtbFBLBQYAAAAABgAGAFkBAABoBQAAAAA=&#10;">
              <v:fill on="f" focussize="0,0"/>
              <v:stroke on="f" weight="0.5pt"/>
              <v:imagedata o:title=""/>
              <o:lock v:ext="edit" aspectratio="f"/>
              <v:textbox inset="0mm,0mm,0mm,0mm" style="mso-fit-shape-to-text:t;">
                <w:txbxContent>
                  <w:p>
                    <w:pPr>
                      <w:pStyle w:val="30"/>
                      <w:rPr>
                        <w:rFonts w:ascii="宋体" w:cs="宋体"/>
                        <w:sz w:val="24"/>
                        <w:szCs w:val="24"/>
                      </w:rPr>
                    </w:pPr>
                    <w:r>
                      <w:rPr>
                        <w:rFonts w:ascii="宋体" w:hAnsi="宋体" w:cs="宋体"/>
                        <w:sz w:val="24"/>
                        <w:szCs w:val="24"/>
                      </w:rPr>
                      <w:fldChar w:fldCharType="begin"/>
                    </w:r>
                    <w:r>
                      <w:rPr>
                        <w:rFonts w:ascii="宋体" w:hAnsi="宋体" w:cs="宋体"/>
                        <w:sz w:val="24"/>
                        <w:szCs w:val="24"/>
                      </w:rPr>
                      <w:instrText xml:space="preserve"> PAGE  \* MERGEFORMAT </w:instrText>
                    </w:r>
                    <w:r>
                      <w:rPr>
                        <w:rFonts w:ascii="宋体" w:hAnsi="宋体" w:cs="宋体"/>
                        <w:sz w:val="24"/>
                        <w:szCs w:val="24"/>
                      </w:rPr>
                      <w:fldChar w:fldCharType="separate"/>
                    </w:r>
                    <w:r>
                      <w:rPr>
                        <w:rFonts w:ascii="宋体" w:hAnsi="宋体" w:cs="宋体"/>
                        <w:sz w:val="24"/>
                        <w:szCs w:val="24"/>
                      </w:rPr>
                      <w:t>54</w:t>
                    </w:r>
                    <w:r>
                      <w:rPr>
                        <w:rFonts w:ascii="宋体" w:hAnsi="宋体" w:cs="宋体"/>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23EB7"/>
    <w:multiLevelType w:val="singleLevel"/>
    <w:tmpl w:val="A7723EB7"/>
    <w:lvl w:ilvl="0" w:tentative="0">
      <w:start w:val="1"/>
      <w:numFmt w:val="chineseCounting"/>
      <w:suff w:val="nothing"/>
      <w:lvlText w:val="（%1）"/>
      <w:lvlJc w:val="left"/>
      <w:rPr>
        <w:rFonts w:hint="eastAsia" w:cs="Times New Roman"/>
      </w:rPr>
    </w:lvl>
  </w:abstractNum>
  <w:abstractNum w:abstractNumId="1">
    <w:nsid w:val="BCEA77AC"/>
    <w:multiLevelType w:val="singleLevel"/>
    <w:tmpl w:val="BCEA77AC"/>
    <w:lvl w:ilvl="0" w:tentative="0">
      <w:start w:val="1"/>
      <w:numFmt w:val="decimal"/>
      <w:suff w:val="space"/>
      <w:lvlText w:val="%1."/>
      <w:lvlJc w:val="left"/>
      <w:rPr>
        <w:rFonts w:cs="Times New Roman"/>
      </w:rPr>
    </w:lvl>
  </w:abstractNum>
  <w:abstractNum w:abstractNumId="2">
    <w:nsid w:val="BFD0D545"/>
    <w:multiLevelType w:val="singleLevel"/>
    <w:tmpl w:val="BFD0D545"/>
    <w:lvl w:ilvl="0" w:tentative="0">
      <w:start w:val="3"/>
      <w:numFmt w:val="decimal"/>
      <w:suff w:val="nothing"/>
      <w:lvlText w:val="（%1）"/>
      <w:lvlJc w:val="left"/>
    </w:lvl>
  </w:abstractNum>
  <w:abstractNum w:abstractNumId="3">
    <w:nsid w:val="D5B19CE4"/>
    <w:multiLevelType w:val="singleLevel"/>
    <w:tmpl w:val="D5B19CE4"/>
    <w:lvl w:ilvl="0" w:tentative="0">
      <w:start w:val="1"/>
      <w:numFmt w:val="decimal"/>
      <w:suff w:val="nothing"/>
      <w:lvlText w:val="（%1）"/>
      <w:lvlJc w:val="left"/>
    </w:lvl>
  </w:abstractNum>
  <w:abstractNum w:abstractNumId="4">
    <w:nsid w:val="DBA42958"/>
    <w:multiLevelType w:val="singleLevel"/>
    <w:tmpl w:val="DBA42958"/>
    <w:lvl w:ilvl="0" w:tentative="0">
      <w:start w:val="2"/>
      <w:numFmt w:val="decimal"/>
      <w:suff w:val="nothing"/>
      <w:lvlText w:val="（%1）"/>
      <w:lvlJc w:val="left"/>
      <w:rPr>
        <w:rFonts w:cs="Times New Roman"/>
      </w:rPr>
    </w:lvl>
  </w:abstractNum>
  <w:abstractNum w:abstractNumId="5">
    <w:nsid w:val="F2094101"/>
    <w:multiLevelType w:val="singleLevel"/>
    <w:tmpl w:val="F2094101"/>
    <w:lvl w:ilvl="0" w:tentative="0">
      <w:start w:val="1"/>
      <w:numFmt w:val="decimal"/>
      <w:suff w:val="nothing"/>
      <w:lvlText w:val="（%1）"/>
      <w:lvlJc w:val="left"/>
    </w:lvl>
  </w:abstractNum>
  <w:abstractNum w:abstractNumId="6">
    <w:nsid w:val="FFFEB8E5"/>
    <w:multiLevelType w:val="singleLevel"/>
    <w:tmpl w:val="FFFEB8E5"/>
    <w:lvl w:ilvl="0" w:tentative="0">
      <w:start w:val="7"/>
      <w:numFmt w:val="decimal"/>
      <w:suff w:val="space"/>
      <w:lvlText w:val="%1."/>
      <w:lvlJc w:val="left"/>
      <w:rPr>
        <w:rFonts w:cs="Times New Roman"/>
      </w:rPr>
    </w:lvl>
  </w:abstractNum>
  <w:abstractNum w:abstractNumId="7">
    <w:nsid w:val="00000005"/>
    <w:multiLevelType w:val="multilevel"/>
    <w:tmpl w:val="00000005"/>
    <w:lvl w:ilvl="0" w:tentative="0">
      <w:start w:val="2"/>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8">
    <w:nsid w:val="21572EA5"/>
    <w:multiLevelType w:val="singleLevel"/>
    <w:tmpl w:val="21572EA5"/>
    <w:lvl w:ilvl="0" w:tentative="0">
      <w:start w:val="1"/>
      <w:numFmt w:val="decimal"/>
      <w:suff w:val="nothing"/>
      <w:lvlText w:val="%1、"/>
      <w:lvlJc w:val="left"/>
      <w:rPr>
        <w:rFonts w:hint="default" w:ascii="宋体" w:hAnsi="宋体" w:eastAsia="宋体" w:cs="宋体"/>
        <w:highlight w:val="none"/>
      </w:rPr>
    </w:lvl>
  </w:abstractNum>
  <w:abstractNum w:abstractNumId="9">
    <w:nsid w:val="2CFC1AFD"/>
    <w:multiLevelType w:val="singleLevel"/>
    <w:tmpl w:val="2CFC1AFD"/>
    <w:lvl w:ilvl="0" w:tentative="0">
      <w:start w:val="5"/>
      <w:numFmt w:val="chineseCounting"/>
      <w:suff w:val="space"/>
      <w:lvlText w:val="第%1章"/>
      <w:lvlJc w:val="left"/>
      <w:rPr>
        <w:rFonts w:hint="eastAsia"/>
      </w:rPr>
    </w:lvl>
  </w:abstractNum>
  <w:num w:numId="1">
    <w:abstractNumId w:val="8"/>
  </w:num>
  <w:num w:numId="2">
    <w:abstractNumId w:val="2"/>
  </w:num>
  <w:num w:numId="3">
    <w:abstractNumId w:val="3"/>
  </w:num>
  <w:num w:numId="4">
    <w:abstractNumId w:val="5"/>
  </w:num>
  <w:num w:numId="5">
    <w:abstractNumId w:val="0"/>
  </w:num>
  <w:num w:numId="6">
    <w:abstractNumId w:val="6"/>
  </w:num>
  <w:num w:numId="7">
    <w:abstractNumId w:val="4"/>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NotTrackMove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2YjJjODlkYjUyODg2ZDBlZTE2OGI5ZmYzN2U3ZTcifQ=="/>
  </w:docVars>
  <w:rsids>
    <w:rsidRoot w:val="00172A27"/>
    <w:rsid w:val="0000197A"/>
    <w:rsid w:val="00002E1B"/>
    <w:rsid w:val="000046EA"/>
    <w:rsid w:val="00004E34"/>
    <w:rsid w:val="00005CD8"/>
    <w:rsid w:val="00006123"/>
    <w:rsid w:val="000070B7"/>
    <w:rsid w:val="0000758B"/>
    <w:rsid w:val="00010F4B"/>
    <w:rsid w:val="0001111D"/>
    <w:rsid w:val="00011A14"/>
    <w:rsid w:val="00012844"/>
    <w:rsid w:val="00012D1D"/>
    <w:rsid w:val="00017114"/>
    <w:rsid w:val="00017EFA"/>
    <w:rsid w:val="00020FE0"/>
    <w:rsid w:val="00021BDB"/>
    <w:rsid w:val="000225E0"/>
    <w:rsid w:val="00022A89"/>
    <w:rsid w:val="00023D05"/>
    <w:rsid w:val="00026E12"/>
    <w:rsid w:val="000273CC"/>
    <w:rsid w:val="000330C1"/>
    <w:rsid w:val="000335C0"/>
    <w:rsid w:val="00034C73"/>
    <w:rsid w:val="0003719A"/>
    <w:rsid w:val="00037B93"/>
    <w:rsid w:val="00040224"/>
    <w:rsid w:val="0004332D"/>
    <w:rsid w:val="00044907"/>
    <w:rsid w:val="0004695D"/>
    <w:rsid w:val="00046C34"/>
    <w:rsid w:val="00057DBF"/>
    <w:rsid w:val="000617FE"/>
    <w:rsid w:val="0006411D"/>
    <w:rsid w:val="000642AF"/>
    <w:rsid w:val="00066792"/>
    <w:rsid w:val="00072090"/>
    <w:rsid w:val="00076B75"/>
    <w:rsid w:val="00076F1D"/>
    <w:rsid w:val="00077234"/>
    <w:rsid w:val="000837EF"/>
    <w:rsid w:val="00083ADA"/>
    <w:rsid w:val="0008659F"/>
    <w:rsid w:val="00086C18"/>
    <w:rsid w:val="00090A07"/>
    <w:rsid w:val="00090F90"/>
    <w:rsid w:val="00093100"/>
    <w:rsid w:val="000939B1"/>
    <w:rsid w:val="00094E9D"/>
    <w:rsid w:val="000A078C"/>
    <w:rsid w:val="000A11AD"/>
    <w:rsid w:val="000A2C9F"/>
    <w:rsid w:val="000A475B"/>
    <w:rsid w:val="000A65EE"/>
    <w:rsid w:val="000B0DC9"/>
    <w:rsid w:val="000B3A75"/>
    <w:rsid w:val="000B4B76"/>
    <w:rsid w:val="000B547D"/>
    <w:rsid w:val="000B7A7E"/>
    <w:rsid w:val="000B7EE6"/>
    <w:rsid w:val="000C10AA"/>
    <w:rsid w:val="000C26FD"/>
    <w:rsid w:val="000D08DE"/>
    <w:rsid w:val="000D203E"/>
    <w:rsid w:val="000D2C3D"/>
    <w:rsid w:val="000D2ECE"/>
    <w:rsid w:val="000D4E9E"/>
    <w:rsid w:val="000D7F9C"/>
    <w:rsid w:val="000E0020"/>
    <w:rsid w:val="000E1F7F"/>
    <w:rsid w:val="000E227E"/>
    <w:rsid w:val="000E24EC"/>
    <w:rsid w:val="000E3D3D"/>
    <w:rsid w:val="000F7312"/>
    <w:rsid w:val="000F740E"/>
    <w:rsid w:val="00104E44"/>
    <w:rsid w:val="001063CB"/>
    <w:rsid w:val="0011140E"/>
    <w:rsid w:val="00114707"/>
    <w:rsid w:val="00115943"/>
    <w:rsid w:val="00116988"/>
    <w:rsid w:val="00120E5D"/>
    <w:rsid w:val="00125553"/>
    <w:rsid w:val="0012738D"/>
    <w:rsid w:val="00130FBA"/>
    <w:rsid w:val="00131494"/>
    <w:rsid w:val="00132E3D"/>
    <w:rsid w:val="0014049F"/>
    <w:rsid w:val="00140BFD"/>
    <w:rsid w:val="00142868"/>
    <w:rsid w:val="00146B5E"/>
    <w:rsid w:val="0015292B"/>
    <w:rsid w:val="0015363F"/>
    <w:rsid w:val="00154C59"/>
    <w:rsid w:val="00155F6F"/>
    <w:rsid w:val="001564C3"/>
    <w:rsid w:val="001620D9"/>
    <w:rsid w:val="0016514F"/>
    <w:rsid w:val="00165414"/>
    <w:rsid w:val="00165F97"/>
    <w:rsid w:val="00167090"/>
    <w:rsid w:val="00167507"/>
    <w:rsid w:val="00172A27"/>
    <w:rsid w:val="00173108"/>
    <w:rsid w:val="00173D37"/>
    <w:rsid w:val="00174E43"/>
    <w:rsid w:val="0018238C"/>
    <w:rsid w:val="00182D4C"/>
    <w:rsid w:val="001834BA"/>
    <w:rsid w:val="001843D3"/>
    <w:rsid w:val="00184866"/>
    <w:rsid w:val="00185DBC"/>
    <w:rsid w:val="001867E2"/>
    <w:rsid w:val="001919D1"/>
    <w:rsid w:val="00191DD8"/>
    <w:rsid w:val="00193AE6"/>
    <w:rsid w:val="00194AEF"/>
    <w:rsid w:val="001963BD"/>
    <w:rsid w:val="001A120B"/>
    <w:rsid w:val="001A184C"/>
    <w:rsid w:val="001A274E"/>
    <w:rsid w:val="001A2C88"/>
    <w:rsid w:val="001A37E0"/>
    <w:rsid w:val="001A3EC9"/>
    <w:rsid w:val="001A50F2"/>
    <w:rsid w:val="001A6EF7"/>
    <w:rsid w:val="001B1DF0"/>
    <w:rsid w:val="001B21A5"/>
    <w:rsid w:val="001B45D5"/>
    <w:rsid w:val="001B4675"/>
    <w:rsid w:val="001B4BDE"/>
    <w:rsid w:val="001B59E9"/>
    <w:rsid w:val="001B62B0"/>
    <w:rsid w:val="001B6A78"/>
    <w:rsid w:val="001C1FC2"/>
    <w:rsid w:val="001C4E01"/>
    <w:rsid w:val="001C7AB4"/>
    <w:rsid w:val="001D0C94"/>
    <w:rsid w:val="001D3498"/>
    <w:rsid w:val="001E1380"/>
    <w:rsid w:val="001E5247"/>
    <w:rsid w:val="001F23AB"/>
    <w:rsid w:val="001F32ED"/>
    <w:rsid w:val="001F4F95"/>
    <w:rsid w:val="001F7E70"/>
    <w:rsid w:val="00200459"/>
    <w:rsid w:val="00202DB7"/>
    <w:rsid w:val="00207065"/>
    <w:rsid w:val="00207999"/>
    <w:rsid w:val="00212D04"/>
    <w:rsid w:val="00213FCA"/>
    <w:rsid w:val="00214988"/>
    <w:rsid w:val="00214B43"/>
    <w:rsid w:val="00214F76"/>
    <w:rsid w:val="002202CE"/>
    <w:rsid w:val="0022219A"/>
    <w:rsid w:val="00222521"/>
    <w:rsid w:val="00227461"/>
    <w:rsid w:val="0022783F"/>
    <w:rsid w:val="00230392"/>
    <w:rsid w:val="00230583"/>
    <w:rsid w:val="00230A2B"/>
    <w:rsid w:val="00231547"/>
    <w:rsid w:val="002334EC"/>
    <w:rsid w:val="00235B32"/>
    <w:rsid w:val="00236AD7"/>
    <w:rsid w:val="00237688"/>
    <w:rsid w:val="00240423"/>
    <w:rsid w:val="00243B18"/>
    <w:rsid w:val="00246AD7"/>
    <w:rsid w:val="00246B91"/>
    <w:rsid w:val="00247A64"/>
    <w:rsid w:val="00250013"/>
    <w:rsid w:val="00250BCF"/>
    <w:rsid w:val="00253591"/>
    <w:rsid w:val="00255670"/>
    <w:rsid w:val="00256780"/>
    <w:rsid w:val="00262ABE"/>
    <w:rsid w:val="002657EE"/>
    <w:rsid w:val="00276F57"/>
    <w:rsid w:val="00277D06"/>
    <w:rsid w:val="002816D4"/>
    <w:rsid w:val="00286980"/>
    <w:rsid w:val="002928CE"/>
    <w:rsid w:val="00292C87"/>
    <w:rsid w:val="0029757E"/>
    <w:rsid w:val="002A1A66"/>
    <w:rsid w:val="002A39EF"/>
    <w:rsid w:val="002A599F"/>
    <w:rsid w:val="002A6E04"/>
    <w:rsid w:val="002B4BA8"/>
    <w:rsid w:val="002B7071"/>
    <w:rsid w:val="002B7117"/>
    <w:rsid w:val="002B714A"/>
    <w:rsid w:val="002B718A"/>
    <w:rsid w:val="002B7621"/>
    <w:rsid w:val="002C2E22"/>
    <w:rsid w:val="002C4A57"/>
    <w:rsid w:val="002C528E"/>
    <w:rsid w:val="002C5643"/>
    <w:rsid w:val="002E13EC"/>
    <w:rsid w:val="002E41CC"/>
    <w:rsid w:val="002F05E9"/>
    <w:rsid w:val="002F2C99"/>
    <w:rsid w:val="002F3D6A"/>
    <w:rsid w:val="002F794D"/>
    <w:rsid w:val="003029B3"/>
    <w:rsid w:val="00303019"/>
    <w:rsid w:val="00306787"/>
    <w:rsid w:val="00306966"/>
    <w:rsid w:val="0031113D"/>
    <w:rsid w:val="00311AAC"/>
    <w:rsid w:val="00313CA4"/>
    <w:rsid w:val="00314E82"/>
    <w:rsid w:val="003150CE"/>
    <w:rsid w:val="00315FF9"/>
    <w:rsid w:val="00316270"/>
    <w:rsid w:val="00321598"/>
    <w:rsid w:val="00321FDB"/>
    <w:rsid w:val="00323870"/>
    <w:rsid w:val="00323FFD"/>
    <w:rsid w:val="00324847"/>
    <w:rsid w:val="00324A5E"/>
    <w:rsid w:val="00325624"/>
    <w:rsid w:val="0032611D"/>
    <w:rsid w:val="003264EB"/>
    <w:rsid w:val="00326940"/>
    <w:rsid w:val="00330CCD"/>
    <w:rsid w:val="00332891"/>
    <w:rsid w:val="00332BBD"/>
    <w:rsid w:val="00333810"/>
    <w:rsid w:val="003343C0"/>
    <w:rsid w:val="00340804"/>
    <w:rsid w:val="00342D97"/>
    <w:rsid w:val="00343375"/>
    <w:rsid w:val="003448C2"/>
    <w:rsid w:val="00344CD6"/>
    <w:rsid w:val="0034662F"/>
    <w:rsid w:val="003510D2"/>
    <w:rsid w:val="00351A8E"/>
    <w:rsid w:val="0035447B"/>
    <w:rsid w:val="00356B27"/>
    <w:rsid w:val="00356B90"/>
    <w:rsid w:val="00357C8A"/>
    <w:rsid w:val="00360C29"/>
    <w:rsid w:val="0036101B"/>
    <w:rsid w:val="003613C6"/>
    <w:rsid w:val="00361CBA"/>
    <w:rsid w:val="00362EE3"/>
    <w:rsid w:val="0036593D"/>
    <w:rsid w:val="00366951"/>
    <w:rsid w:val="00370107"/>
    <w:rsid w:val="003720A1"/>
    <w:rsid w:val="003745F9"/>
    <w:rsid w:val="00376808"/>
    <w:rsid w:val="0037767C"/>
    <w:rsid w:val="003817E6"/>
    <w:rsid w:val="00381E22"/>
    <w:rsid w:val="0038244A"/>
    <w:rsid w:val="00382545"/>
    <w:rsid w:val="00383221"/>
    <w:rsid w:val="00384090"/>
    <w:rsid w:val="003844ED"/>
    <w:rsid w:val="00386132"/>
    <w:rsid w:val="003871B4"/>
    <w:rsid w:val="00393016"/>
    <w:rsid w:val="00394BA5"/>
    <w:rsid w:val="00394D82"/>
    <w:rsid w:val="003A70F7"/>
    <w:rsid w:val="003B39C6"/>
    <w:rsid w:val="003B4CDE"/>
    <w:rsid w:val="003B5919"/>
    <w:rsid w:val="003B7075"/>
    <w:rsid w:val="003B7983"/>
    <w:rsid w:val="003C24F4"/>
    <w:rsid w:val="003C4452"/>
    <w:rsid w:val="003C4CBD"/>
    <w:rsid w:val="003C7646"/>
    <w:rsid w:val="003D0BFC"/>
    <w:rsid w:val="003D206A"/>
    <w:rsid w:val="003D27B4"/>
    <w:rsid w:val="003D34ED"/>
    <w:rsid w:val="003D60ED"/>
    <w:rsid w:val="003D7852"/>
    <w:rsid w:val="003E0F27"/>
    <w:rsid w:val="003E15AB"/>
    <w:rsid w:val="003E3274"/>
    <w:rsid w:val="003E441B"/>
    <w:rsid w:val="003E528B"/>
    <w:rsid w:val="003E62C9"/>
    <w:rsid w:val="003E64A4"/>
    <w:rsid w:val="003F1184"/>
    <w:rsid w:val="003F19CD"/>
    <w:rsid w:val="003F34D1"/>
    <w:rsid w:val="003F5214"/>
    <w:rsid w:val="003F56BE"/>
    <w:rsid w:val="003F72A7"/>
    <w:rsid w:val="00403578"/>
    <w:rsid w:val="0040419B"/>
    <w:rsid w:val="00404AFD"/>
    <w:rsid w:val="0041061A"/>
    <w:rsid w:val="00411B9C"/>
    <w:rsid w:val="004139CC"/>
    <w:rsid w:val="00416BD0"/>
    <w:rsid w:val="004179E4"/>
    <w:rsid w:val="00422908"/>
    <w:rsid w:val="0042416B"/>
    <w:rsid w:val="004249BA"/>
    <w:rsid w:val="0042531B"/>
    <w:rsid w:val="004306D8"/>
    <w:rsid w:val="00430F18"/>
    <w:rsid w:val="00432BC1"/>
    <w:rsid w:val="00433924"/>
    <w:rsid w:val="00434AAC"/>
    <w:rsid w:val="0043512B"/>
    <w:rsid w:val="00435537"/>
    <w:rsid w:val="004355FE"/>
    <w:rsid w:val="00441E58"/>
    <w:rsid w:val="00445715"/>
    <w:rsid w:val="00445E0F"/>
    <w:rsid w:val="00446179"/>
    <w:rsid w:val="004506F7"/>
    <w:rsid w:val="0045199B"/>
    <w:rsid w:val="00451F70"/>
    <w:rsid w:val="00454C0F"/>
    <w:rsid w:val="00454F95"/>
    <w:rsid w:val="004571AF"/>
    <w:rsid w:val="00462043"/>
    <w:rsid w:val="0046380E"/>
    <w:rsid w:val="00466093"/>
    <w:rsid w:val="004712B0"/>
    <w:rsid w:val="00471B5C"/>
    <w:rsid w:val="00473006"/>
    <w:rsid w:val="00473509"/>
    <w:rsid w:val="00473BA0"/>
    <w:rsid w:val="00474B17"/>
    <w:rsid w:val="0047678B"/>
    <w:rsid w:val="00477FF4"/>
    <w:rsid w:val="00482303"/>
    <w:rsid w:val="00487C57"/>
    <w:rsid w:val="00494CD7"/>
    <w:rsid w:val="004A3117"/>
    <w:rsid w:val="004A394F"/>
    <w:rsid w:val="004A7299"/>
    <w:rsid w:val="004B15C6"/>
    <w:rsid w:val="004C0130"/>
    <w:rsid w:val="004C1E7E"/>
    <w:rsid w:val="004C2BF2"/>
    <w:rsid w:val="004C4C36"/>
    <w:rsid w:val="004C791A"/>
    <w:rsid w:val="004D0871"/>
    <w:rsid w:val="004D31D7"/>
    <w:rsid w:val="004D6B92"/>
    <w:rsid w:val="004E085C"/>
    <w:rsid w:val="004E0F8D"/>
    <w:rsid w:val="004F0E30"/>
    <w:rsid w:val="004F1D3D"/>
    <w:rsid w:val="004F3C9D"/>
    <w:rsid w:val="004F5CF2"/>
    <w:rsid w:val="004F77A5"/>
    <w:rsid w:val="00504F99"/>
    <w:rsid w:val="00505F69"/>
    <w:rsid w:val="005078D7"/>
    <w:rsid w:val="00510F89"/>
    <w:rsid w:val="00512B81"/>
    <w:rsid w:val="00513D1E"/>
    <w:rsid w:val="0052022B"/>
    <w:rsid w:val="005212B3"/>
    <w:rsid w:val="00525D5C"/>
    <w:rsid w:val="00526B90"/>
    <w:rsid w:val="00527D18"/>
    <w:rsid w:val="005324F1"/>
    <w:rsid w:val="005345CF"/>
    <w:rsid w:val="00534798"/>
    <w:rsid w:val="00534AB4"/>
    <w:rsid w:val="005362C3"/>
    <w:rsid w:val="00536BAD"/>
    <w:rsid w:val="00537141"/>
    <w:rsid w:val="005408F8"/>
    <w:rsid w:val="00543A1A"/>
    <w:rsid w:val="00543D1A"/>
    <w:rsid w:val="00545A63"/>
    <w:rsid w:val="00550A8B"/>
    <w:rsid w:val="00551ABE"/>
    <w:rsid w:val="00551F3F"/>
    <w:rsid w:val="00553C28"/>
    <w:rsid w:val="00555711"/>
    <w:rsid w:val="0055655B"/>
    <w:rsid w:val="005575EF"/>
    <w:rsid w:val="00557CAA"/>
    <w:rsid w:val="005610A7"/>
    <w:rsid w:val="00562097"/>
    <w:rsid w:val="00562642"/>
    <w:rsid w:val="00562653"/>
    <w:rsid w:val="00563B31"/>
    <w:rsid w:val="00564616"/>
    <w:rsid w:val="00565E25"/>
    <w:rsid w:val="00566512"/>
    <w:rsid w:val="005677A2"/>
    <w:rsid w:val="00571668"/>
    <w:rsid w:val="00573193"/>
    <w:rsid w:val="005736B2"/>
    <w:rsid w:val="0057643A"/>
    <w:rsid w:val="00580342"/>
    <w:rsid w:val="00582213"/>
    <w:rsid w:val="005901E1"/>
    <w:rsid w:val="005915F5"/>
    <w:rsid w:val="00591F58"/>
    <w:rsid w:val="00592834"/>
    <w:rsid w:val="00594FBF"/>
    <w:rsid w:val="0059693D"/>
    <w:rsid w:val="00597823"/>
    <w:rsid w:val="005A3405"/>
    <w:rsid w:val="005A5E6E"/>
    <w:rsid w:val="005A65D3"/>
    <w:rsid w:val="005A71BD"/>
    <w:rsid w:val="005A7C75"/>
    <w:rsid w:val="005B3CFB"/>
    <w:rsid w:val="005B4AA4"/>
    <w:rsid w:val="005B5C42"/>
    <w:rsid w:val="005B682A"/>
    <w:rsid w:val="005B705D"/>
    <w:rsid w:val="005C0054"/>
    <w:rsid w:val="005D0BCF"/>
    <w:rsid w:val="005D1D33"/>
    <w:rsid w:val="005D1E1A"/>
    <w:rsid w:val="005D2808"/>
    <w:rsid w:val="005D49DC"/>
    <w:rsid w:val="005D6EDB"/>
    <w:rsid w:val="005E4BD5"/>
    <w:rsid w:val="005E6D8D"/>
    <w:rsid w:val="005E7874"/>
    <w:rsid w:val="005F2C58"/>
    <w:rsid w:val="005F3CD8"/>
    <w:rsid w:val="005F6D4E"/>
    <w:rsid w:val="00601231"/>
    <w:rsid w:val="006015AA"/>
    <w:rsid w:val="006053A4"/>
    <w:rsid w:val="00610D91"/>
    <w:rsid w:val="0061143B"/>
    <w:rsid w:val="006173D9"/>
    <w:rsid w:val="006174D0"/>
    <w:rsid w:val="00617B19"/>
    <w:rsid w:val="00620E0C"/>
    <w:rsid w:val="0062507F"/>
    <w:rsid w:val="00626412"/>
    <w:rsid w:val="00627097"/>
    <w:rsid w:val="00627F07"/>
    <w:rsid w:val="00630701"/>
    <w:rsid w:val="00630A52"/>
    <w:rsid w:val="006314EC"/>
    <w:rsid w:val="006317D9"/>
    <w:rsid w:val="006319A4"/>
    <w:rsid w:val="006320EC"/>
    <w:rsid w:val="00632505"/>
    <w:rsid w:val="0063261C"/>
    <w:rsid w:val="00634E49"/>
    <w:rsid w:val="006404B8"/>
    <w:rsid w:val="00640732"/>
    <w:rsid w:val="00640CD1"/>
    <w:rsid w:val="006411FA"/>
    <w:rsid w:val="006468C4"/>
    <w:rsid w:val="00656322"/>
    <w:rsid w:val="0065656C"/>
    <w:rsid w:val="00662C9C"/>
    <w:rsid w:val="00664CCB"/>
    <w:rsid w:val="0066501C"/>
    <w:rsid w:val="00667847"/>
    <w:rsid w:val="00667E21"/>
    <w:rsid w:val="00672253"/>
    <w:rsid w:val="00672477"/>
    <w:rsid w:val="006803F2"/>
    <w:rsid w:val="00680EED"/>
    <w:rsid w:val="00683A32"/>
    <w:rsid w:val="00686C3A"/>
    <w:rsid w:val="0069751D"/>
    <w:rsid w:val="00697E3A"/>
    <w:rsid w:val="006A5A61"/>
    <w:rsid w:val="006A6C9D"/>
    <w:rsid w:val="006B06AF"/>
    <w:rsid w:val="006B3780"/>
    <w:rsid w:val="006B3913"/>
    <w:rsid w:val="006B5F0A"/>
    <w:rsid w:val="006B7B67"/>
    <w:rsid w:val="006C004B"/>
    <w:rsid w:val="006C09E3"/>
    <w:rsid w:val="006C12A2"/>
    <w:rsid w:val="006C1EAD"/>
    <w:rsid w:val="006C3056"/>
    <w:rsid w:val="006C3E9D"/>
    <w:rsid w:val="006C4608"/>
    <w:rsid w:val="006E29E7"/>
    <w:rsid w:val="006E3C5D"/>
    <w:rsid w:val="006E4C81"/>
    <w:rsid w:val="006F3D17"/>
    <w:rsid w:val="007010A6"/>
    <w:rsid w:val="007010E6"/>
    <w:rsid w:val="007013D6"/>
    <w:rsid w:val="00704877"/>
    <w:rsid w:val="007056DC"/>
    <w:rsid w:val="00707B0D"/>
    <w:rsid w:val="00707F33"/>
    <w:rsid w:val="00707FB8"/>
    <w:rsid w:val="00710E91"/>
    <w:rsid w:val="00712094"/>
    <w:rsid w:val="00712899"/>
    <w:rsid w:val="00716F04"/>
    <w:rsid w:val="007220FC"/>
    <w:rsid w:val="007224C8"/>
    <w:rsid w:val="00731F87"/>
    <w:rsid w:val="00734057"/>
    <w:rsid w:val="007347A9"/>
    <w:rsid w:val="00734A59"/>
    <w:rsid w:val="00737389"/>
    <w:rsid w:val="00740EA7"/>
    <w:rsid w:val="00741E7A"/>
    <w:rsid w:val="00743A79"/>
    <w:rsid w:val="00746374"/>
    <w:rsid w:val="0074694C"/>
    <w:rsid w:val="00750DC6"/>
    <w:rsid w:val="00751F36"/>
    <w:rsid w:val="00752ABA"/>
    <w:rsid w:val="007544B3"/>
    <w:rsid w:val="00754953"/>
    <w:rsid w:val="00755F4B"/>
    <w:rsid w:val="007569BF"/>
    <w:rsid w:val="00764F21"/>
    <w:rsid w:val="007650EA"/>
    <w:rsid w:val="00771225"/>
    <w:rsid w:val="007716E8"/>
    <w:rsid w:val="00771EE2"/>
    <w:rsid w:val="00772F61"/>
    <w:rsid w:val="007735D0"/>
    <w:rsid w:val="00776CE6"/>
    <w:rsid w:val="0077709D"/>
    <w:rsid w:val="0077725B"/>
    <w:rsid w:val="0078232E"/>
    <w:rsid w:val="007825BB"/>
    <w:rsid w:val="0078387C"/>
    <w:rsid w:val="007846BD"/>
    <w:rsid w:val="007852C4"/>
    <w:rsid w:val="00785C7C"/>
    <w:rsid w:val="00791072"/>
    <w:rsid w:val="00791620"/>
    <w:rsid w:val="00792C93"/>
    <w:rsid w:val="0079603B"/>
    <w:rsid w:val="00796119"/>
    <w:rsid w:val="00797F29"/>
    <w:rsid w:val="00797F99"/>
    <w:rsid w:val="007A3AD3"/>
    <w:rsid w:val="007A5486"/>
    <w:rsid w:val="007A59DE"/>
    <w:rsid w:val="007B10BC"/>
    <w:rsid w:val="007B2FBF"/>
    <w:rsid w:val="007B6549"/>
    <w:rsid w:val="007B7D18"/>
    <w:rsid w:val="007C065A"/>
    <w:rsid w:val="007C313C"/>
    <w:rsid w:val="007C5C10"/>
    <w:rsid w:val="007C5C4D"/>
    <w:rsid w:val="007D2547"/>
    <w:rsid w:val="007D3552"/>
    <w:rsid w:val="007D5303"/>
    <w:rsid w:val="007D6C61"/>
    <w:rsid w:val="007D7027"/>
    <w:rsid w:val="007E1D6E"/>
    <w:rsid w:val="007E60BB"/>
    <w:rsid w:val="007E66F0"/>
    <w:rsid w:val="007E6E71"/>
    <w:rsid w:val="007F0879"/>
    <w:rsid w:val="007F2072"/>
    <w:rsid w:val="007F7CC1"/>
    <w:rsid w:val="00801530"/>
    <w:rsid w:val="00803277"/>
    <w:rsid w:val="00803BC6"/>
    <w:rsid w:val="008044D7"/>
    <w:rsid w:val="00811BC8"/>
    <w:rsid w:val="00812181"/>
    <w:rsid w:val="0081385B"/>
    <w:rsid w:val="00816600"/>
    <w:rsid w:val="00821645"/>
    <w:rsid w:val="00822D2E"/>
    <w:rsid w:val="00827EA0"/>
    <w:rsid w:val="0083345E"/>
    <w:rsid w:val="00834EAE"/>
    <w:rsid w:val="00841403"/>
    <w:rsid w:val="0084190B"/>
    <w:rsid w:val="0084411B"/>
    <w:rsid w:val="00844951"/>
    <w:rsid w:val="00844D6E"/>
    <w:rsid w:val="00845A5D"/>
    <w:rsid w:val="008462FB"/>
    <w:rsid w:val="008465CD"/>
    <w:rsid w:val="0084663D"/>
    <w:rsid w:val="008515C0"/>
    <w:rsid w:val="00854873"/>
    <w:rsid w:val="00855E83"/>
    <w:rsid w:val="00856515"/>
    <w:rsid w:val="0086292A"/>
    <w:rsid w:val="00864FC6"/>
    <w:rsid w:val="00865B48"/>
    <w:rsid w:val="00872E7D"/>
    <w:rsid w:val="00874549"/>
    <w:rsid w:val="008756B7"/>
    <w:rsid w:val="008757B7"/>
    <w:rsid w:val="00880472"/>
    <w:rsid w:val="008813F9"/>
    <w:rsid w:val="0088144C"/>
    <w:rsid w:val="00881587"/>
    <w:rsid w:val="0088218C"/>
    <w:rsid w:val="00884060"/>
    <w:rsid w:val="00890796"/>
    <w:rsid w:val="0089321E"/>
    <w:rsid w:val="008933DF"/>
    <w:rsid w:val="00894C08"/>
    <w:rsid w:val="00895001"/>
    <w:rsid w:val="0089560E"/>
    <w:rsid w:val="008A0CBD"/>
    <w:rsid w:val="008A0D2A"/>
    <w:rsid w:val="008A1DEE"/>
    <w:rsid w:val="008A3970"/>
    <w:rsid w:val="008A5701"/>
    <w:rsid w:val="008B3DFF"/>
    <w:rsid w:val="008B3F28"/>
    <w:rsid w:val="008C49D3"/>
    <w:rsid w:val="008C5947"/>
    <w:rsid w:val="008C6DA1"/>
    <w:rsid w:val="008C72A6"/>
    <w:rsid w:val="008D3D94"/>
    <w:rsid w:val="008D618A"/>
    <w:rsid w:val="008E1DC0"/>
    <w:rsid w:val="008E30BF"/>
    <w:rsid w:val="008E35A0"/>
    <w:rsid w:val="008E3A25"/>
    <w:rsid w:val="008E5038"/>
    <w:rsid w:val="008F031C"/>
    <w:rsid w:val="008F1463"/>
    <w:rsid w:val="008F1F11"/>
    <w:rsid w:val="008F31C7"/>
    <w:rsid w:val="008F7358"/>
    <w:rsid w:val="008F7394"/>
    <w:rsid w:val="008F79D7"/>
    <w:rsid w:val="009006DF"/>
    <w:rsid w:val="00910153"/>
    <w:rsid w:val="00910A19"/>
    <w:rsid w:val="00910BDC"/>
    <w:rsid w:val="00910F4E"/>
    <w:rsid w:val="00911695"/>
    <w:rsid w:val="00911E55"/>
    <w:rsid w:val="00913F05"/>
    <w:rsid w:val="0091562C"/>
    <w:rsid w:val="009177B6"/>
    <w:rsid w:val="00917A27"/>
    <w:rsid w:val="00923CD3"/>
    <w:rsid w:val="00924202"/>
    <w:rsid w:val="00924E50"/>
    <w:rsid w:val="00925CC6"/>
    <w:rsid w:val="00926ABF"/>
    <w:rsid w:val="00927A26"/>
    <w:rsid w:val="00927D00"/>
    <w:rsid w:val="00930969"/>
    <w:rsid w:val="0093269F"/>
    <w:rsid w:val="00936433"/>
    <w:rsid w:val="009412CD"/>
    <w:rsid w:val="0095349A"/>
    <w:rsid w:val="00955204"/>
    <w:rsid w:val="00960CAB"/>
    <w:rsid w:val="00960CCB"/>
    <w:rsid w:val="00961359"/>
    <w:rsid w:val="00962A0B"/>
    <w:rsid w:val="00962C4D"/>
    <w:rsid w:val="00964D34"/>
    <w:rsid w:val="00966F72"/>
    <w:rsid w:val="0096757C"/>
    <w:rsid w:val="00967A23"/>
    <w:rsid w:val="00972946"/>
    <w:rsid w:val="00972E84"/>
    <w:rsid w:val="00974691"/>
    <w:rsid w:val="00976022"/>
    <w:rsid w:val="00976169"/>
    <w:rsid w:val="00976580"/>
    <w:rsid w:val="00977C3F"/>
    <w:rsid w:val="00977CC3"/>
    <w:rsid w:val="00980102"/>
    <w:rsid w:val="0098316D"/>
    <w:rsid w:val="00984D59"/>
    <w:rsid w:val="0098502F"/>
    <w:rsid w:val="00986D16"/>
    <w:rsid w:val="009910B5"/>
    <w:rsid w:val="009920AD"/>
    <w:rsid w:val="0099244A"/>
    <w:rsid w:val="009938B8"/>
    <w:rsid w:val="00994EB2"/>
    <w:rsid w:val="00995053"/>
    <w:rsid w:val="009A0735"/>
    <w:rsid w:val="009A25E2"/>
    <w:rsid w:val="009A37CD"/>
    <w:rsid w:val="009A4C36"/>
    <w:rsid w:val="009B1FF8"/>
    <w:rsid w:val="009B42EF"/>
    <w:rsid w:val="009B4E7E"/>
    <w:rsid w:val="009B5EED"/>
    <w:rsid w:val="009C20D3"/>
    <w:rsid w:val="009C37BF"/>
    <w:rsid w:val="009C6EE6"/>
    <w:rsid w:val="009C7333"/>
    <w:rsid w:val="009C7979"/>
    <w:rsid w:val="009D0966"/>
    <w:rsid w:val="009D0B0C"/>
    <w:rsid w:val="009D22E5"/>
    <w:rsid w:val="009D4B7E"/>
    <w:rsid w:val="009D5E13"/>
    <w:rsid w:val="009D71F1"/>
    <w:rsid w:val="009E015C"/>
    <w:rsid w:val="009E0909"/>
    <w:rsid w:val="009E37B1"/>
    <w:rsid w:val="009E3E05"/>
    <w:rsid w:val="009E5780"/>
    <w:rsid w:val="009E5D72"/>
    <w:rsid w:val="009E6EC4"/>
    <w:rsid w:val="009F01E1"/>
    <w:rsid w:val="009F2F5E"/>
    <w:rsid w:val="009F3B2F"/>
    <w:rsid w:val="009F42ED"/>
    <w:rsid w:val="009F60D9"/>
    <w:rsid w:val="00A01456"/>
    <w:rsid w:val="00A01B5E"/>
    <w:rsid w:val="00A02A20"/>
    <w:rsid w:val="00A03301"/>
    <w:rsid w:val="00A05E3C"/>
    <w:rsid w:val="00A0769D"/>
    <w:rsid w:val="00A07925"/>
    <w:rsid w:val="00A101E8"/>
    <w:rsid w:val="00A10455"/>
    <w:rsid w:val="00A1132C"/>
    <w:rsid w:val="00A1168E"/>
    <w:rsid w:val="00A11DCF"/>
    <w:rsid w:val="00A11EE6"/>
    <w:rsid w:val="00A1213C"/>
    <w:rsid w:val="00A14C01"/>
    <w:rsid w:val="00A1556E"/>
    <w:rsid w:val="00A169DC"/>
    <w:rsid w:val="00A20C10"/>
    <w:rsid w:val="00A22308"/>
    <w:rsid w:val="00A22EC9"/>
    <w:rsid w:val="00A25ED3"/>
    <w:rsid w:val="00A264B5"/>
    <w:rsid w:val="00A26E1A"/>
    <w:rsid w:val="00A27D67"/>
    <w:rsid w:val="00A317E0"/>
    <w:rsid w:val="00A37208"/>
    <w:rsid w:val="00A373FE"/>
    <w:rsid w:val="00A37744"/>
    <w:rsid w:val="00A4126B"/>
    <w:rsid w:val="00A431C8"/>
    <w:rsid w:val="00A47E8E"/>
    <w:rsid w:val="00A50183"/>
    <w:rsid w:val="00A50E52"/>
    <w:rsid w:val="00A512D9"/>
    <w:rsid w:val="00A52488"/>
    <w:rsid w:val="00A52EF8"/>
    <w:rsid w:val="00A52F87"/>
    <w:rsid w:val="00A550F0"/>
    <w:rsid w:val="00A55F4D"/>
    <w:rsid w:val="00A56DFC"/>
    <w:rsid w:val="00A607D6"/>
    <w:rsid w:val="00A65ACF"/>
    <w:rsid w:val="00A71725"/>
    <w:rsid w:val="00A730D4"/>
    <w:rsid w:val="00A75160"/>
    <w:rsid w:val="00A80107"/>
    <w:rsid w:val="00A80270"/>
    <w:rsid w:val="00A81E1C"/>
    <w:rsid w:val="00A82C07"/>
    <w:rsid w:val="00A8654F"/>
    <w:rsid w:val="00A921C2"/>
    <w:rsid w:val="00A93040"/>
    <w:rsid w:val="00A9331E"/>
    <w:rsid w:val="00A96C90"/>
    <w:rsid w:val="00AA1C5D"/>
    <w:rsid w:val="00AA207A"/>
    <w:rsid w:val="00AA672A"/>
    <w:rsid w:val="00AA7717"/>
    <w:rsid w:val="00AA7A7D"/>
    <w:rsid w:val="00AA7BA4"/>
    <w:rsid w:val="00AB24DF"/>
    <w:rsid w:val="00AB2639"/>
    <w:rsid w:val="00AB41F5"/>
    <w:rsid w:val="00AB534D"/>
    <w:rsid w:val="00AB6C48"/>
    <w:rsid w:val="00AB7F2E"/>
    <w:rsid w:val="00AC00B4"/>
    <w:rsid w:val="00AC26EA"/>
    <w:rsid w:val="00AC2702"/>
    <w:rsid w:val="00AC5E52"/>
    <w:rsid w:val="00AC75F2"/>
    <w:rsid w:val="00AD0D0C"/>
    <w:rsid w:val="00AD28A1"/>
    <w:rsid w:val="00AD39D3"/>
    <w:rsid w:val="00AD6CA7"/>
    <w:rsid w:val="00AF04EA"/>
    <w:rsid w:val="00AF1B9D"/>
    <w:rsid w:val="00AF2D9F"/>
    <w:rsid w:val="00AF4146"/>
    <w:rsid w:val="00B01E1E"/>
    <w:rsid w:val="00B04E52"/>
    <w:rsid w:val="00B064E0"/>
    <w:rsid w:val="00B0681C"/>
    <w:rsid w:val="00B06DF0"/>
    <w:rsid w:val="00B125E7"/>
    <w:rsid w:val="00B17733"/>
    <w:rsid w:val="00B17A2D"/>
    <w:rsid w:val="00B238A2"/>
    <w:rsid w:val="00B24199"/>
    <w:rsid w:val="00B2684F"/>
    <w:rsid w:val="00B30708"/>
    <w:rsid w:val="00B30B1C"/>
    <w:rsid w:val="00B32557"/>
    <w:rsid w:val="00B40A36"/>
    <w:rsid w:val="00B421B9"/>
    <w:rsid w:val="00B43070"/>
    <w:rsid w:val="00B43FAA"/>
    <w:rsid w:val="00B46946"/>
    <w:rsid w:val="00B52319"/>
    <w:rsid w:val="00B5524B"/>
    <w:rsid w:val="00B60374"/>
    <w:rsid w:val="00B624DE"/>
    <w:rsid w:val="00B631C4"/>
    <w:rsid w:val="00B648B6"/>
    <w:rsid w:val="00B65453"/>
    <w:rsid w:val="00B669BA"/>
    <w:rsid w:val="00B67E11"/>
    <w:rsid w:val="00B75280"/>
    <w:rsid w:val="00B81D39"/>
    <w:rsid w:val="00B82D37"/>
    <w:rsid w:val="00B879EB"/>
    <w:rsid w:val="00B87A14"/>
    <w:rsid w:val="00B87A48"/>
    <w:rsid w:val="00B91A45"/>
    <w:rsid w:val="00BA398E"/>
    <w:rsid w:val="00BA58F0"/>
    <w:rsid w:val="00BA6D3B"/>
    <w:rsid w:val="00BA7453"/>
    <w:rsid w:val="00BB0336"/>
    <w:rsid w:val="00BB0FA2"/>
    <w:rsid w:val="00BB2223"/>
    <w:rsid w:val="00BB2B7B"/>
    <w:rsid w:val="00BB2E6B"/>
    <w:rsid w:val="00BC0C20"/>
    <w:rsid w:val="00BC508C"/>
    <w:rsid w:val="00BC79D7"/>
    <w:rsid w:val="00BD1389"/>
    <w:rsid w:val="00BD41E9"/>
    <w:rsid w:val="00BD51C6"/>
    <w:rsid w:val="00BD7908"/>
    <w:rsid w:val="00BE057A"/>
    <w:rsid w:val="00BE2D96"/>
    <w:rsid w:val="00BE520A"/>
    <w:rsid w:val="00BE5A23"/>
    <w:rsid w:val="00BE6705"/>
    <w:rsid w:val="00BE7FAD"/>
    <w:rsid w:val="00BF03C1"/>
    <w:rsid w:val="00BF0DAF"/>
    <w:rsid w:val="00BF0E76"/>
    <w:rsid w:val="00BF1E08"/>
    <w:rsid w:val="00BF2EB6"/>
    <w:rsid w:val="00BF7A0C"/>
    <w:rsid w:val="00C063C0"/>
    <w:rsid w:val="00C06DB4"/>
    <w:rsid w:val="00C0756A"/>
    <w:rsid w:val="00C12BE9"/>
    <w:rsid w:val="00C13786"/>
    <w:rsid w:val="00C14FCB"/>
    <w:rsid w:val="00C15A0C"/>
    <w:rsid w:val="00C15FE3"/>
    <w:rsid w:val="00C2443D"/>
    <w:rsid w:val="00C24999"/>
    <w:rsid w:val="00C25A3F"/>
    <w:rsid w:val="00C2616B"/>
    <w:rsid w:val="00C26E45"/>
    <w:rsid w:val="00C318C2"/>
    <w:rsid w:val="00C35769"/>
    <w:rsid w:val="00C405C9"/>
    <w:rsid w:val="00C40FE1"/>
    <w:rsid w:val="00C434BA"/>
    <w:rsid w:val="00C44BCE"/>
    <w:rsid w:val="00C46EAD"/>
    <w:rsid w:val="00C51140"/>
    <w:rsid w:val="00C536A9"/>
    <w:rsid w:val="00C56A2B"/>
    <w:rsid w:val="00C57A7D"/>
    <w:rsid w:val="00C57DD2"/>
    <w:rsid w:val="00C6039F"/>
    <w:rsid w:val="00C61FE7"/>
    <w:rsid w:val="00C64B7C"/>
    <w:rsid w:val="00C673DF"/>
    <w:rsid w:val="00C75A94"/>
    <w:rsid w:val="00C77A24"/>
    <w:rsid w:val="00C77AA8"/>
    <w:rsid w:val="00C804FA"/>
    <w:rsid w:val="00C82D91"/>
    <w:rsid w:val="00C82E68"/>
    <w:rsid w:val="00C862B3"/>
    <w:rsid w:val="00C87690"/>
    <w:rsid w:val="00C87B3D"/>
    <w:rsid w:val="00C92F00"/>
    <w:rsid w:val="00C936E3"/>
    <w:rsid w:val="00C93DA5"/>
    <w:rsid w:val="00C9452A"/>
    <w:rsid w:val="00C94FA3"/>
    <w:rsid w:val="00C9774D"/>
    <w:rsid w:val="00CA00CA"/>
    <w:rsid w:val="00CA0334"/>
    <w:rsid w:val="00CA2884"/>
    <w:rsid w:val="00CA2953"/>
    <w:rsid w:val="00CA3206"/>
    <w:rsid w:val="00CA348C"/>
    <w:rsid w:val="00CA4CD5"/>
    <w:rsid w:val="00CA68AA"/>
    <w:rsid w:val="00CB12D2"/>
    <w:rsid w:val="00CB3280"/>
    <w:rsid w:val="00CB3F09"/>
    <w:rsid w:val="00CB4283"/>
    <w:rsid w:val="00CB4873"/>
    <w:rsid w:val="00CB57BD"/>
    <w:rsid w:val="00CB618B"/>
    <w:rsid w:val="00CC1A9F"/>
    <w:rsid w:val="00CC1C9A"/>
    <w:rsid w:val="00CC252A"/>
    <w:rsid w:val="00CC4493"/>
    <w:rsid w:val="00CC44BA"/>
    <w:rsid w:val="00CC47DB"/>
    <w:rsid w:val="00CC5D81"/>
    <w:rsid w:val="00CC7B84"/>
    <w:rsid w:val="00CD275C"/>
    <w:rsid w:val="00CD4231"/>
    <w:rsid w:val="00CD4AF0"/>
    <w:rsid w:val="00CD7B4A"/>
    <w:rsid w:val="00CE3A30"/>
    <w:rsid w:val="00CE4050"/>
    <w:rsid w:val="00CE4F1D"/>
    <w:rsid w:val="00CE602D"/>
    <w:rsid w:val="00CE65F8"/>
    <w:rsid w:val="00CE792C"/>
    <w:rsid w:val="00CE7DD4"/>
    <w:rsid w:val="00CF59F8"/>
    <w:rsid w:val="00CF615A"/>
    <w:rsid w:val="00CF745F"/>
    <w:rsid w:val="00D0047C"/>
    <w:rsid w:val="00D01366"/>
    <w:rsid w:val="00D0265F"/>
    <w:rsid w:val="00D03403"/>
    <w:rsid w:val="00D046B8"/>
    <w:rsid w:val="00D12693"/>
    <w:rsid w:val="00D1359A"/>
    <w:rsid w:val="00D22FAB"/>
    <w:rsid w:val="00D258FD"/>
    <w:rsid w:val="00D26687"/>
    <w:rsid w:val="00D2689C"/>
    <w:rsid w:val="00D26B80"/>
    <w:rsid w:val="00D30EE3"/>
    <w:rsid w:val="00D329C5"/>
    <w:rsid w:val="00D3321C"/>
    <w:rsid w:val="00D337F6"/>
    <w:rsid w:val="00D35580"/>
    <w:rsid w:val="00D356EA"/>
    <w:rsid w:val="00D401A6"/>
    <w:rsid w:val="00D409EF"/>
    <w:rsid w:val="00D40B26"/>
    <w:rsid w:val="00D453E0"/>
    <w:rsid w:val="00D5328E"/>
    <w:rsid w:val="00D54F1A"/>
    <w:rsid w:val="00D565F5"/>
    <w:rsid w:val="00D567DA"/>
    <w:rsid w:val="00D577DB"/>
    <w:rsid w:val="00D57E1A"/>
    <w:rsid w:val="00D608B9"/>
    <w:rsid w:val="00D61861"/>
    <w:rsid w:val="00D622CD"/>
    <w:rsid w:val="00D62567"/>
    <w:rsid w:val="00D66575"/>
    <w:rsid w:val="00D70550"/>
    <w:rsid w:val="00D80FD3"/>
    <w:rsid w:val="00D82784"/>
    <w:rsid w:val="00D8528C"/>
    <w:rsid w:val="00D87357"/>
    <w:rsid w:val="00D93C90"/>
    <w:rsid w:val="00D97E72"/>
    <w:rsid w:val="00DA0B4C"/>
    <w:rsid w:val="00DA116F"/>
    <w:rsid w:val="00DA25E7"/>
    <w:rsid w:val="00DA56E9"/>
    <w:rsid w:val="00DA71CC"/>
    <w:rsid w:val="00DB0579"/>
    <w:rsid w:val="00DB697C"/>
    <w:rsid w:val="00DB727B"/>
    <w:rsid w:val="00DB7622"/>
    <w:rsid w:val="00DB7E9D"/>
    <w:rsid w:val="00DC26C6"/>
    <w:rsid w:val="00DC277E"/>
    <w:rsid w:val="00DC3027"/>
    <w:rsid w:val="00DC383B"/>
    <w:rsid w:val="00DC3D1F"/>
    <w:rsid w:val="00DD13E3"/>
    <w:rsid w:val="00DD2ED9"/>
    <w:rsid w:val="00DD33A6"/>
    <w:rsid w:val="00DD4A45"/>
    <w:rsid w:val="00DD63D1"/>
    <w:rsid w:val="00DE0362"/>
    <w:rsid w:val="00DE222A"/>
    <w:rsid w:val="00DE34C7"/>
    <w:rsid w:val="00DE3DF8"/>
    <w:rsid w:val="00DE5E9E"/>
    <w:rsid w:val="00DE7D44"/>
    <w:rsid w:val="00DF0E81"/>
    <w:rsid w:val="00DF1196"/>
    <w:rsid w:val="00DF73D5"/>
    <w:rsid w:val="00E006A4"/>
    <w:rsid w:val="00E01733"/>
    <w:rsid w:val="00E041AA"/>
    <w:rsid w:val="00E0726C"/>
    <w:rsid w:val="00E12C8B"/>
    <w:rsid w:val="00E13696"/>
    <w:rsid w:val="00E15607"/>
    <w:rsid w:val="00E15BD9"/>
    <w:rsid w:val="00E20153"/>
    <w:rsid w:val="00E213C3"/>
    <w:rsid w:val="00E24AF7"/>
    <w:rsid w:val="00E2637A"/>
    <w:rsid w:val="00E31555"/>
    <w:rsid w:val="00E31DCB"/>
    <w:rsid w:val="00E3267B"/>
    <w:rsid w:val="00E350B1"/>
    <w:rsid w:val="00E355CF"/>
    <w:rsid w:val="00E355D3"/>
    <w:rsid w:val="00E37A69"/>
    <w:rsid w:val="00E40E68"/>
    <w:rsid w:val="00E420DA"/>
    <w:rsid w:val="00E432BC"/>
    <w:rsid w:val="00E452FF"/>
    <w:rsid w:val="00E46A23"/>
    <w:rsid w:val="00E471B1"/>
    <w:rsid w:val="00E47253"/>
    <w:rsid w:val="00E52FB0"/>
    <w:rsid w:val="00E5543F"/>
    <w:rsid w:val="00E61183"/>
    <w:rsid w:val="00E61800"/>
    <w:rsid w:val="00E62303"/>
    <w:rsid w:val="00E658A8"/>
    <w:rsid w:val="00E668DA"/>
    <w:rsid w:val="00E676D9"/>
    <w:rsid w:val="00E71800"/>
    <w:rsid w:val="00E73BE6"/>
    <w:rsid w:val="00E73BEC"/>
    <w:rsid w:val="00E73D9E"/>
    <w:rsid w:val="00E73E25"/>
    <w:rsid w:val="00E74949"/>
    <w:rsid w:val="00E74A8E"/>
    <w:rsid w:val="00E76AD5"/>
    <w:rsid w:val="00E82224"/>
    <w:rsid w:val="00E87A83"/>
    <w:rsid w:val="00E96C97"/>
    <w:rsid w:val="00EA09A8"/>
    <w:rsid w:val="00EA3E32"/>
    <w:rsid w:val="00EA6D61"/>
    <w:rsid w:val="00EA704E"/>
    <w:rsid w:val="00EA7F7C"/>
    <w:rsid w:val="00EB2913"/>
    <w:rsid w:val="00EB42BD"/>
    <w:rsid w:val="00EB642C"/>
    <w:rsid w:val="00EC2475"/>
    <w:rsid w:val="00EC4E86"/>
    <w:rsid w:val="00EC5566"/>
    <w:rsid w:val="00EC69E9"/>
    <w:rsid w:val="00ED12A0"/>
    <w:rsid w:val="00ED2D4B"/>
    <w:rsid w:val="00ED4F9C"/>
    <w:rsid w:val="00ED55F8"/>
    <w:rsid w:val="00ED5689"/>
    <w:rsid w:val="00ED697B"/>
    <w:rsid w:val="00ED70F4"/>
    <w:rsid w:val="00EE0B69"/>
    <w:rsid w:val="00EE0F9A"/>
    <w:rsid w:val="00EE1A69"/>
    <w:rsid w:val="00EE5547"/>
    <w:rsid w:val="00EE7CE2"/>
    <w:rsid w:val="00EF6DB6"/>
    <w:rsid w:val="00EF6EF4"/>
    <w:rsid w:val="00F00091"/>
    <w:rsid w:val="00F005E7"/>
    <w:rsid w:val="00F01476"/>
    <w:rsid w:val="00F0190B"/>
    <w:rsid w:val="00F0202B"/>
    <w:rsid w:val="00F02302"/>
    <w:rsid w:val="00F03454"/>
    <w:rsid w:val="00F0494D"/>
    <w:rsid w:val="00F04A09"/>
    <w:rsid w:val="00F05D9E"/>
    <w:rsid w:val="00F06492"/>
    <w:rsid w:val="00F07ED0"/>
    <w:rsid w:val="00F10121"/>
    <w:rsid w:val="00F1264F"/>
    <w:rsid w:val="00F12882"/>
    <w:rsid w:val="00F1424F"/>
    <w:rsid w:val="00F1577A"/>
    <w:rsid w:val="00F21581"/>
    <w:rsid w:val="00F22362"/>
    <w:rsid w:val="00F24C6B"/>
    <w:rsid w:val="00F26850"/>
    <w:rsid w:val="00F274AF"/>
    <w:rsid w:val="00F308B0"/>
    <w:rsid w:val="00F3163A"/>
    <w:rsid w:val="00F3402B"/>
    <w:rsid w:val="00F365E1"/>
    <w:rsid w:val="00F3673E"/>
    <w:rsid w:val="00F400D9"/>
    <w:rsid w:val="00F40471"/>
    <w:rsid w:val="00F43778"/>
    <w:rsid w:val="00F43A25"/>
    <w:rsid w:val="00F44207"/>
    <w:rsid w:val="00F442EF"/>
    <w:rsid w:val="00F44932"/>
    <w:rsid w:val="00F471C7"/>
    <w:rsid w:val="00F509D2"/>
    <w:rsid w:val="00F53E92"/>
    <w:rsid w:val="00F554B2"/>
    <w:rsid w:val="00F579EE"/>
    <w:rsid w:val="00F57BC9"/>
    <w:rsid w:val="00F60225"/>
    <w:rsid w:val="00F61A0A"/>
    <w:rsid w:val="00F61AD6"/>
    <w:rsid w:val="00F641D8"/>
    <w:rsid w:val="00F64532"/>
    <w:rsid w:val="00F66627"/>
    <w:rsid w:val="00F711EC"/>
    <w:rsid w:val="00F71E61"/>
    <w:rsid w:val="00F75713"/>
    <w:rsid w:val="00F75AB0"/>
    <w:rsid w:val="00F75C73"/>
    <w:rsid w:val="00F81536"/>
    <w:rsid w:val="00F85169"/>
    <w:rsid w:val="00F85239"/>
    <w:rsid w:val="00F8527D"/>
    <w:rsid w:val="00F8540D"/>
    <w:rsid w:val="00F90548"/>
    <w:rsid w:val="00F922EF"/>
    <w:rsid w:val="00F937BD"/>
    <w:rsid w:val="00F962DC"/>
    <w:rsid w:val="00FA07CF"/>
    <w:rsid w:val="00FA2F0E"/>
    <w:rsid w:val="00FA4ABC"/>
    <w:rsid w:val="00FA51C6"/>
    <w:rsid w:val="00FA5D2F"/>
    <w:rsid w:val="00FB11E7"/>
    <w:rsid w:val="00FB7C96"/>
    <w:rsid w:val="00FC1F97"/>
    <w:rsid w:val="00FC460B"/>
    <w:rsid w:val="00FC56B8"/>
    <w:rsid w:val="00FC5F20"/>
    <w:rsid w:val="00FC69AF"/>
    <w:rsid w:val="00FC7B5E"/>
    <w:rsid w:val="00FD079E"/>
    <w:rsid w:val="00FD0B41"/>
    <w:rsid w:val="00FD20A0"/>
    <w:rsid w:val="00FD4991"/>
    <w:rsid w:val="00FE0113"/>
    <w:rsid w:val="00FE0A00"/>
    <w:rsid w:val="00FE0D2A"/>
    <w:rsid w:val="00FE417B"/>
    <w:rsid w:val="00FE6AF1"/>
    <w:rsid w:val="00FE7A2E"/>
    <w:rsid w:val="00FF1392"/>
    <w:rsid w:val="00FF2D63"/>
    <w:rsid w:val="00FF403E"/>
    <w:rsid w:val="00FF6ACF"/>
    <w:rsid w:val="00FF7157"/>
    <w:rsid w:val="01086012"/>
    <w:rsid w:val="012F23D2"/>
    <w:rsid w:val="01353E46"/>
    <w:rsid w:val="013D20EF"/>
    <w:rsid w:val="013D4C8F"/>
    <w:rsid w:val="0141555F"/>
    <w:rsid w:val="01542AFA"/>
    <w:rsid w:val="015E6630"/>
    <w:rsid w:val="016C75C7"/>
    <w:rsid w:val="018D524F"/>
    <w:rsid w:val="019036D8"/>
    <w:rsid w:val="01A01767"/>
    <w:rsid w:val="01A66FAC"/>
    <w:rsid w:val="01BD4FDC"/>
    <w:rsid w:val="01C42B8B"/>
    <w:rsid w:val="01CE3A0A"/>
    <w:rsid w:val="01E941AE"/>
    <w:rsid w:val="01ED256A"/>
    <w:rsid w:val="01FE504C"/>
    <w:rsid w:val="02201D8C"/>
    <w:rsid w:val="0221105C"/>
    <w:rsid w:val="02240E71"/>
    <w:rsid w:val="022F6268"/>
    <w:rsid w:val="0230144B"/>
    <w:rsid w:val="023E2A8F"/>
    <w:rsid w:val="023F01AC"/>
    <w:rsid w:val="02497F02"/>
    <w:rsid w:val="025C7268"/>
    <w:rsid w:val="025D37A6"/>
    <w:rsid w:val="02630A21"/>
    <w:rsid w:val="027520D7"/>
    <w:rsid w:val="02910656"/>
    <w:rsid w:val="029452C8"/>
    <w:rsid w:val="0299330C"/>
    <w:rsid w:val="029E3E12"/>
    <w:rsid w:val="02AE2F1E"/>
    <w:rsid w:val="02B07476"/>
    <w:rsid w:val="02B12263"/>
    <w:rsid w:val="02B34262"/>
    <w:rsid w:val="02BA6D6B"/>
    <w:rsid w:val="02BC6761"/>
    <w:rsid w:val="02C30781"/>
    <w:rsid w:val="02C32A89"/>
    <w:rsid w:val="02EB23C8"/>
    <w:rsid w:val="02ED4254"/>
    <w:rsid w:val="02F54A67"/>
    <w:rsid w:val="02FB586B"/>
    <w:rsid w:val="032764F6"/>
    <w:rsid w:val="03355FAD"/>
    <w:rsid w:val="03357A15"/>
    <w:rsid w:val="033F6615"/>
    <w:rsid w:val="034A4B76"/>
    <w:rsid w:val="03604B36"/>
    <w:rsid w:val="03646BB0"/>
    <w:rsid w:val="036A455B"/>
    <w:rsid w:val="03700AD7"/>
    <w:rsid w:val="03881BEB"/>
    <w:rsid w:val="03B07722"/>
    <w:rsid w:val="03B409DD"/>
    <w:rsid w:val="03B94246"/>
    <w:rsid w:val="03C9092D"/>
    <w:rsid w:val="03C947DD"/>
    <w:rsid w:val="03CD0376"/>
    <w:rsid w:val="03E73921"/>
    <w:rsid w:val="03E868D9"/>
    <w:rsid w:val="03EB0F95"/>
    <w:rsid w:val="03F1290E"/>
    <w:rsid w:val="04002E0B"/>
    <w:rsid w:val="04077B51"/>
    <w:rsid w:val="040F03FA"/>
    <w:rsid w:val="0412438A"/>
    <w:rsid w:val="04136717"/>
    <w:rsid w:val="041D2A27"/>
    <w:rsid w:val="04332546"/>
    <w:rsid w:val="04533461"/>
    <w:rsid w:val="048D54DF"/>
    <w:rsid w:val="04B51F1A"/>
    <w:rsid w:val="04BD0338"/>
    <w:rsid w:val="04C56D31"/>
    <w:rsid w:val="04CF0F22"/>
    <w:rsid w:val="04D7542D"/>
    <w:rsid w:val="04DD163F"/>
    <w:rsid w:val="04E452F2"/>
    <w:rsid w:val="04E82F5F"/>
    <w:rsid w:val="05084E1A"/>
    <w:rsid w:val="0536624A"/>
    <w:rsid w:val="05476ED2"/>
    <w:rsid w:val="05507187"/>
    <w:rsid w:val="05547F50"/>
    <w:rsid w:val="05586D81"/>
    <w:rsid w:val="056775E0"/>
    <w:rsid w:val="05812096"/>
    <w:rsid w:val="05A174D0"/>
    <w:rsid w:val="05A31C11"/>
    <w:rsid w:val="05A54A82"/>
    <w:rsid w:val="05B6570E"/>
    <w:rsid w:val="05B719DB"/>
    <w:rsid w:val="05D411B5"/>
    <w:rsid w:val="05DC03BC"/>
    <w:rsid w:val="05E03755"/>
    <w:rsid w:val="05E05D39"/>
    <w:rsid w:val="05EE025B"/>
    <w:rsid w:val="05FB2E46"/>
    <w:rsid w:val="06274DE9"/>
    <w:rsid w:val="0643158D"/>
    <w:rsid w:val="06606ACF"/>
    <w:rsid w:val="06632C8A"/>
    <w:rsid w:val="066C44D0"/>
    <w:rsid w:val="06780BE4"/>
    <w:rsid w:val="067D77AC"/>
    <w:rsid w:val="0688298E"/>
    <w:rsid w:val="06A978A6"/>
    <w:rsid w:val="06BA577F"/>
    <w:rsid w:val="06C373A0"/>
    <w:rsid w:val="06CA61EA"/>
    <w:rsid w:val="06CE3AAD"/>
    <w:rsid w:val="06D3256B"/>
    <w:rsid w:val="06E93094"/>
    <w:rsid w:val="07142FC9"/>
    <w:rsid w:val="0716354A"/>
    <w:rsid w:val="071A113A"/>
    <w:rsid w:val="071A5532"/>
    <w:rsid w:val="073F7F68"/>
    <w:rsid w:val="07433326"/>
    <w:rsid w:val="074D1200"/>
    <w:rsid w:val="07701435"/>
    <w:rsid w:val="078057A6"/>
    <w:rsid w:val="0791006E"/>
    <w:rsid w:val="07A93817"/>
    <w:rsid w:val="07AA51F7"/>
    <w:rsid w:val="07C16E32"/>
    <w:rsid w:val="07C956F1"/>
    <w:rsid w:val="07DE071F"/>
    <w:rsid w:val="07E724F1"/>
    <w:rsid w:val="07F54B10"/>
    <w:rsid w:val="080D2DB2"/>
    <w:rsid w:val="08236132"/>
    <w:rsid w:val="0824157E"/>
    <w:rsid w:val="082A5712"/>
    <w:rsid w:val="08365D8B"/>
    <w:rsid w:val="083932FD"/>
    <w:rsid w:val="083C1D74"/>
    <w:rsid w:val="0841303F"/>
    <w:rsid w:val="08442529"/>
    <w:rsid w:val="08664D5B"/>
    <w:rsid w:val="087338E5"/>
    <w:rsid w:val="087E552F"/>
    <w:rsid w:val="08935065"/>
    <w:rsid w:val="08994E2C"/>
    <w:rsid w:val="089E0248"/>
    <w:rsid w:val="08AA7F40"/>
    <w:rsid w:val="08AC09F8"/>
    <w:rsid w:val="08AF1C74"/>
    <w:rsid w:val="08B76FB8"/>
    <w:rsid w:val="08EC3C9C"/>
    <w:rsid w:val="08EF4818"/>
    <w:rsid w:val="08F26284"/>
    <w:rsid w:val="08F57B11"/>
    <w:rsid w:val="08F617F2"/>
    <w:rsid w:val="08F64252"/>
    <w:rsid w:val="08F94C8C"/>
    <w:rsid w:val="08FD0C7A"/>
    <w:rsid w:val="09027DBF"/>
    <w:rsid w:val="090F109A"/>
    <w:rsid w:val="09151314"/>
    <w:rsid w:val="09263609"/>
    <w:rsid w:val="092E2FE0"/>
    <w:rsid w:val="093E5BC8"/>
    <w:rsid w:val="0953633D"/>
    <w:rsid w:val="095867F9"/>
    <w:rsid w:val="09697733"/>
    <w:rsid w:val="09953804"/>
    <w:rsid w:val="099A0675"/>
    <w:rsid w:val="099C034D"/>
    <w:rsid w:val="09A71810"/>
    <w:rsid w:val="09AF52BC"/>
    <w:rsid w:val="09C556F2"/>
    <w:rsid w:val="09C9680A"/>
    <w:rsid w:val="09E33DCA"/>
    <w:rsid w:val="09EA33AB"/>
    <w:rsid w:val="09EA6668"/>
    <w:rsid w:val="0A0501E5"/>
    <w:rsid w:val="0A075D0B"/>
    <w:rsid w:val="0A0A57FB"/>
    <w:rsid w:val="0A193C90"/>
    <w:rsid w:val="0A1A77A1"/>
    <w:rsid w:val="0A3E3D26"/>
    <w:rsid w:val="0A4834F8"/>
    <w:rsid w:val="0A6173D2"/>
    <w:rsid w:val="0A682231"/>
    <w:rsid w:val="0A6825A9"/>
    <w:rsid w:val="0A781198"/>
    <w:rsid w:val="0AAC10E4"/>
    <w:rsid w:val="0AB07E4A"/>
    <w:rsid w:val="0AC93B72"/>
    <w:rsid w:val="0ACA6D38"/>
    <w:rsid w:val="0AD53C26"/>
    <w:rsid w:val="0ADD3B4A"/>
    <w:rsid w:val="0AEE775A"/>
    <w:rsid w:val="0AFF5154"/>
    <w:rsid w:val="0B0260FA"/>
    <w:rsid w:val="0B127FA5"/>
    <w:rsid w:val="0B187C06"/>
    <w:rsid w:val="0B462863"/>
    <w:rsid w:val="0B4B3360"/>
    <w:rsid w:val="0B6153F6"/>
    <w:rsid w:val="0B6C4BE2"/>
    <w:rsid w:val="0B895D1E"/>
    <w:rsid w:val="0B903157"/>
    <w:rsid w:val="0B9335CE"/>
    <w:rsid w:val="0BA653BF"/>
    <w:rsid w:val="0BAC6F99"/>
    <w:rsid w:val="0BCD1EAC"/>
    <w:rsid w:val="0BCF142C"/>
    <w:rsid w:val="0BDC319A"/>
    <w:rsid w:val="0BFB783E"/>
    <w:rsid w:val="0BFD5373"/>
    <w:rsid w:val="0BFD6481"/>
    <w:rsid w:val="0C0F0CD9"/>
    <w:rsid w:val="0C631998"/>
    <w:rsid w:val="0C6821F6"/>
    <w:rsid w:val="0C990787"/>
    <w:rsid w:val="0C992D4F"/>
    <w:rsid w:val="0CAE3A50"/>
    <w:rsid w:val="0CBF15FF"/>
    <w:rsid w:val="0CC20F4F"/>
    <w:rsid w:val="0CD91857"/>
    <w:rsid w:val="0CDA4E4E"/>
    <w:rsid w:val="0CF258A4"/>
    <w:rsid w:val="0D212A41"/>
    <w:rsid w:val="0D214045"/>
    <w:rsid w:val="0D215F2C"/>
    <w:rsid w:val="0D314FE6"/>
    <w:rsid w:val="0D330BC5"/>
    <w:rsid w:val="0D540C02"/>
    <w:rsid w:val="0D571C0F"/>
    <w:rsid w:val="0D637F0E"/>
    <w:rsid w:val="0D645222"/>
    <w:rsid w:val="0D6A5410"/>
    <w:rsid w:val="0D794CB6"/>
    <w:rsid w:val="0D8324ED"/>
    <w:rsid w:val="0D8F059D"/>
    <w:rsid w:val="0D8F5855"/>
    <w:rsid w:val="0D936D15"/>
    <w:rsid w:val="0D9827E5"/>
    <w:rsid w:val="0DAF3D29"/>
    <w:rsid w:val="0DC466B9"/>
    <w:rsid w:val="0DC54945"/>
    <w:rsid w:val="0DF25BA4"/>
    <w:rsid w:val="0DFD573A"/>
    <w:rsid w:val="0DFE1012"/>
    <w:rsid w:val="0E0B029F"/>
    <w:rsid w:val="0E230373"/>
    <w:rsid w:val="0E2A41ED"/>
    <w:rsid w:val="0E30302E"/>
    <w:rsid w:val="0E351EED"/>
    <w:rsid w:val="0E397874"/>
    <w:rsid w:val="0E461B92"/>
    <w:rsid w:val="0E6059EA"/>
    <w:rsid w:val="0E632208"/>
    <w:rsid w:val="0E844468"/>
    <w:rsid w:val="0E9E135B"/>
    <w:rsid w:val="0EA44F43"/>
    <w:rsid w:val="0EA62844"/>
    <w:rsid w:val="0EC2669E"/>
    <w:rsid w:val="0ED75315"/>
    <w:rsid w:val="0ED756CF"/>
    <w:rsid w:val="0EE34A0A"/>
    <w:rsid w:val="0EEF23A4"/>
    <w:rsid w:val="0F2500FF"/>
    <w:rsid w:val="0F2A7DB7"/>
    <w:rsid w:val="0F2D61D9"/>
    <w:rsid w:val="0F43254D"/>
    <w:rsid w:val="0F45451E"/>
    <w:rsid w:val="0F5372FC"/>
    <w:rsid w:val="0F543C48"/>
    <w:rsid w:val="0F54568B"/>
    <w:rsid w:val="0F6801CF"/>
    <w:rsid w:val="0F7F71A8"/>
    <w:rsid w:val="0F851480"/>
    <w:rsid w:val="0F9B0554"/>
    <w:rsid w:val="0FAF5422"/>
    <w:rsid w:val="0FAF5990"/>
    <w:rsid w:val="0FB271E8"/>
    <w:rsid w:val="0FB3423F"/>
    <w:rsid w:val="0FB73D2F"/>
    <w:rsid w:val="0FBF1392"/>
    <w:rsid w:val="0FC41BDA"/>
    <w:rsid w:val="0FD84D52"/>
    <w:rsid w:val="0FD93801"/>
    <w:rsid w:val="0FDC41E3"/>
    <w:rsid w:val="0FE95EB3"/>
    <w:rsid w:val="100C40A0"/>
    <w:rsid w:val="10131FB5"/>
    <w:rsid w:val="10176676"/>
    <w:rsid w:val="1031732E"/>
    <w:rsid w:val="10327E3A"/>
    <w:rsid w:val="10374301"/>
    <w:rsid w:val="10394E9C"/>
    <w:rsid w:val="103A764D"/>
    <w:rsid w:val="103B6EC4"/>
    <w:rsid w:val="10457DEF"/>
    <w:rsid w:val="10482BD9"/>
    <w:rsid w:val="104A6951"/>
    <w:rsid w:val="105628E7"/>
    <w:rsid w:val="105A27E6"/>
    <w:rsid w:val="108120DC"/>
    <w:rsid w:val="108950E7"/>
    <w:rsid w:val="109135C4"/>
    <w:rsid w:val="10A4426E"/>
    <w:rsid w:val="10B656D8"/>
    <w:rsid w:val="10BB6F68"/>
    <w:rsid w:val="10C37A22"/>
    <w:rsid w:val="10C556C7"/>
    <w:rsid w:val="10C55FD8"/>
    <w:rsid w:val="10F772EF"/>
    <w:rsid w:val="11017A58"/>
    <w:rsid w:val="11023D17"/>
    <w:rsid w:val="110F34C8"/>
    <w:rsid w:val="11491151"/>
    <w:rsid w:val="1159543F"/>
    <w:rsid w:val="116230D1"/>
    <w:rsid w:val="116A7E05"/>
    <w:rsid w:val="11722460"/>
    <w:rsid w:val="117A4F14"/>
    <w:rsid w:val="119D6F55"/>
    <w:rsid w:val="11CB1987"/>
    <w:rsid w:val="11D529F0"/>
    <w:rsid w:val="11DC5FC8"/>
    <w:rsid w:val="11E71072"/>
    <w:rsid w:val="11F55D84"/>
    <w:rsid w:val="11F95233"/>
    <w:rsid w:val="11FE73E1"/>
    <w:rsid w:val="1206271C"/>
    <w:rsid w:val="120E39AF"/>
    <w:rsid w:val="12114BE2"/>
    <w:rsid w:val="121911ED"/>
    <w:rsid w:val="12261816"/>
    <w:rsid w:val="122816CA"/>
    <w:rsid w:val="1231523F"/>
    <w:rsid w:val="12392AE3"/>
    <w:rsid w:val="12421044"/>
    <w:rsid w:val="127A5380"/>
    <w:rsid w:val="12957C2C"/>
    <w:rsid w:val="1298079E"/>
    <w:rsid w:val="12AD5EBA"/>
    <w:rsid w:val="12B10442"/>
    <w:rsid w:val="12C319F0"/>
    <w:rsid w:val="12CB7F7B"/>
    <w:rsid w:val="12D57B5A"/>
    <w:rsid w:val="12D60970"/>
    <w:rsid w:val="12DA74FD"/>
    <w:rsid w:val="130354DD"/>
    <w:rsid w:val="13160E95"/>
    <w:rsid w:val="131D4A08"/>
    <w:rsid w:val="132A077A"/>
    <w:rsid w:val="132B4874"/>
    <w:rsid w:val="13365D96"/>
    <w:rsid w:val="133833D9"/>
    <w:rsid w:val="13401CF4"/>
    <w:rsid w:val="13474541"/>
    <w:rsid w:val="13597FDE"/>
    <w:rsid w:val="13610A7C"/>
    <w:rsid w:val="1370511E"/>
    <w:rsid w:val="138A2CF3"/>
    <w:rsid w:val="139600FA"/>
    <w:rsid w:val="139B1B3C"/>
    <w:rsid w:val="13AC7923"/>
    <w:rsid w:val="13BB36C2"/>
    <w:rsid w:val="13C163E4"/>
    <w:rsid w:val="13CF69C3"/>
    <w:rsid w:val="13E63AA6"/>
    <w:rsid w:val="13EB21F9"/>
    <w:rsid w:val="13F175F7"/>
    <w:rsid w:val="13F85DC5"/>
    <w:rsid w:val="13FC3073"/>
    <w:rsid w:val="14002DA6"/>
    <w:rsid w:val="141601C0"/>
    <w:rsid w:val="14183270"/>
    <w:rsid w:val="141D447E"/>
    <w:rsid w:val="141D6B0B"/>
    <w:rsid w:val="142D6F89"/>
    <w:rsid w:val="144554E0"/>
    <w:rsid w:val="144C2ACB"/>
    <w:rsid w:val="145908CD"/>
    <w:rsid w:val="146975C2"/>
    <w:rsid w:val="148617D9"/>
    <w:rsid w:val="149258A7"/>
    <w:rsid w:val="149321EC"/>
    <w:rsid w:val="14A979BF"/>
    <w:rsid w:val="14AA6C47"/>
    <w:rsid w:val="14AD74AF"/>
    <w:rsid w:val="14B81325"/>
    <w:rsid w:val="14BB5770"/>
    <w:rsid w:val="14CA4494"/>
    <w:rsid w:val="14DD13B5"/>
    <w:rsid w:val="14DF1102"/>
    <w:rsid w:val="14E74E80"/>
    <w:rsid w:val="14FB05D3"/>
    <w:rsid w:val="14FB1DB1"/>
    <w:rsid w:val="1507775C"/>
    <w:rsid w:val="15082EFA"/>
    <w:rsid w:val="15107A3E"/>
    <w:rsid w:val="15214D63"/>
    <w:rsid w:val="15271ACD"/>
    <w:rsid w:val="153E6FE7"/>
    <w:rsid w:val="15535F3F"/>
    <w:rsid w:val="155C3CBE"/>
    <w:rsid w:val="15697093"/>
    <w:rsid w:val="15760076"/>
    <w:rsid w:val="157E5DA4"/>
    <w:rsid w:val="159F6FD6"/>
    <w:rsid w:val="15A5462A"/>
    <w:rsid w:val="15B01BBF"/>
    <w:rsid w:val="15EC3B3E"/>
    <w:rsid w:val="15F1786F"/>
    <w:rsid w:val="15F46C2A"/>
    <w:rsid w:val="16121567"/>
    <w:rsid w:val="16175528"/>
    <w:rsid w:val="162D4D4B"/>
    <w:rsid w:val="16343F81"/>
    <w:rsid w:val="163948ED"/>
    <w:rsid w:val="164275F4"/>
    <w:rsid w:val="164717FA"/>
    <w:rsid w:val="1654148B"/>
    <w:rsid w:val="165710DF"/>
    <w:rsid w:val="16573B76"/>
    <w:rsid w:val="165B71D5"/>
    <w:rsid w:val="16700A7A"/>
    <w:rsid w:val="16734728"/>
    <w:rsid w:val="167D1103"/>
    <w:rsid w:val="1683572D"/>
    <w:rsid w:val="169E0BEA"/>
    <w:rsid w:val="16AF7EFC"/>
    <w:rsid w:val="16DD2BAC"/>
    <w:rsid w:val="16F70EB5"/>
    <w:rsid w:val="17197085"/>
    <w:rsid w:val="172460AC"/>
    <w:rsid w:val="172B1987"/>
    <w:rsid w:val="173054B2"/>
    <w:rsid w:val="17424EAD"/>
    <w:rsid w:val="174C1699"/>
    <w:rsid w:val="17544559"/>
    <w:rsid w:val="175E7E76"/>
    <w:rsid w:val="1763479D"/>
    <w:rsid w:val="178667F0"/>
    <w:rsid w:val="178A4C4F"/>
    <w:rsid w:val="17942AA9"/>
    <w:rsid w:val="17987255"/>
    <w:rsid w:val="179928AA"/>
    <w:rsid w:val="17A739C7"/>
    <w:rsid w:val="17C212EB"/>
    <w:rsid w:val="17C42121"/>
    <w:rsid w:val="17D82A95"/>
    <w:rsid w:val="17FB6C91"/>
    <w:rsid w:val="18053F1E"/>
    <w:rsid w:val="18085749"/>
    <w:rsid w:val="180B6D06"/>
    <w:rsid w:val="181A3262"/>
    <w:rsid w:val="181C3FF8"/>
    <w:rsid w:val="18320327"/>
    <w:rsid w:val="18365CFA"/>
    <w:rsid w:val="184114A1"/>
    <w:rsid w:val="18425C49"/>
    <w:rsid w:val="186969E3"/>
    <w:rsid w:val="188C7694"/>
    <w:rsid w:val="18BE3F0D"/>
    <w:rsid w:val="18C140E3"/>
    <w:rsid w:val="18CD6371"/>
    <w:rsid w:val="18DA0A8E"/>
    <w:rsid w:val="18DC03A2"/>
    <w:rsid w:val="18E11EA5"/>
    <w:rsid w:val="18FA4C8D"/>
    <w:rsid w:val="19054750"/>
    <w:rsid w:val="19083037"/>
    <w:rsid w:val="19092828"/>
    <w:rsid w:val="19103908"/>
    <w:rsid w:val="1933462F"/>
    <w:rsid w:val="19390D64"/>
    <w:rsid w:val="19554C37"/>
    <w:rsid w:val="19566DB3"/>
    <w:rsid w:val="196279A1"/>
    <w:rsid w:val="198040A4"/>
    <w:rsid w:val="198C37FE"/>
    <w:rsid w:val="19A941C1"/>
    <w:rsid w:val="19AE5ACF"/>
    <w:rsid w:val="19AF5A77"/>
    <w:rsid w:val="19B3071D"/>
    <w:rsid w:val="19B675DA"/>
    <w:rsid w:val="19C57049"/>
    <w:rsid w:val="19C637E5"/>
    <w:rsid w:val="19C721FB"/>
    <w:rsid w:val="19CE5CD8"/>
    <w:rsid w:val="19F02EFF"/>
    <w:rsid w:val="1A052165"/>
    <w:rsid w:val="1A063EF5"/>
    <w:rsid w:val="1A0F3AD5"/>
    <w:rsid w:val="1A0F6516"/>
    <w:rsid w:val="1A0F7374"/>
    <w:rsid w:val="1A142D27"/>
    <w:rsid w:val="1A1816AF"/>
    <w:rsid w:val="1A302494"/>
    <w:rsid w:val="1A330E88"/>
    <w:rsid w:val="1A407304"/>
    <w:rsid w:val="1A60672B"/>
    <w:rsid w:val="1A630F50"/>
    <w:rsid w:val="1A6732FB"/>
    <w:rsid w:val="1A7929A3"/>
    <w:rsid w:val="1A7B4669"/>
    <w:rsid w:val="1A870B38"/>
    <w:rsid w:val="1A8C5DB8"/>
    <w:rsid w:val="1A8C6CF6"/>
    <w:rsid w:val="1A9417D9"/>
    <w:rsid w:val="1AA572B8"/>
    <w:rsid w:val="1AA70EB7"/>
    <w:rsid w:val="1AAA4949"/>
    <w:rsid w:val="1AB31D2F"/>
    <w:rsid w:val="1AC00AAF"/>
    <w:rsid w:val="1ACE55DA"/>
    <w:rsid w:val="1ACE6054"/>
    <w:rsid w:val="1ACE6D27"/>
    <w:rsid w:val="1AE0038B"/>
    <w:rsid w:val="1B403FA5"/>
    <w:rsid w:val="1B450A9E"/>
    <w:rsid w:val="1B481CDF"/>
    <w:rsid w:val="1B4B17D0"/>
    <w:rsid w:val="1B524326"/>
    <w:rsid w:val="1B55168B"/>
    <w:rsid w:val="1B63458F"/>
    <w:rsid w:val="1B645069"/>
    <w:rsid w:val="1B7D1BE7"/>
    <w:rsid w:val="1B7D1D15"/>
    <w:rsid w:val="1B8637EA"/>
    <w:rsid w:val="1B966EEF"/>
    <w:rsid w:val="1BDD1B28"/>
    <w:rsid w:val="1BE57F51"/>
    <w:rsid w:val="1C022610"/>
    <w:rsid w:val="1C037CCC"/>
    <w:rsid w:val="1C085913"/>
    <w:rsid w:val="1C0876C1"/>
    <w:rsid w:val="1C2F4A48"/>
    <w:rsid w:val="1C37598E"/>
    <w:rsid w:val="1C400DCC"/>
    <w:rsid w:val="1C4A3D51"/>
    <w:rsid w:val="1C550B58"/>
    <w:rsid w:val="1C6062B5"/>
    <w:rsid w:val="1C656B00"/>
    <w:rsid w:val="1C657709"/>
    <w:rsid w:val="1C6D522B"/>
    <w:rsid w:val="1C762201"/>
    <w:rsid w:val="1C87757C"/>
    <w:rsid w:val="1C911F05"/>
    <w:rsid w:val="1C9232F2"/>
    <w:rsid w:val="1C943E77"/>
    <w:rsid w:val="1C993860"/>
    <w:rsid w:val="1CB517E1"/>
    <w:rsid w:val="1CBF5FD1"/>
    <w:rsid w:val="1CC07FCD"/>
    <w:rsid w:val="1CCD060E"/>
    <w:rsid w:val="1CD4109A"/>
    <w:rsid w:val="1CDE3631"/>
    <w:rsid w:val="1CE814D1"/>
    <w:rsid w:val="1CFE11B3"/>
    <w:rsid w:val="1D00167E"/>
    <w:rsid w:val="1D01132A"/>
    <w:rsid w:val="1D022EEB"/>
    <w:rsid w:val="1D2C5B34"/>
    <w:rsid w:val="1D3444B7"/>
    <w:rsid w:val="1D3A1AFC"/>
    <w:rsid w:val="1D3F2887"/>
    <w:rsid w:val="1D413DD6"/>
    <w:rsid w:val="1D442082"/>
    <w:rsid w:val="1D494085"/>
    <w:rsid w:val="1D6104E9"/>
    <w:rsid w:val="1D6D5E73"/>
    <w:rsid w:val="1D6E2EA0"/>
    <w:rsid w:val="1D7C0366"/>
    <w:rsid w:val="1D90430C"/>
    <w:rsid w:val="1DA228F6"/>
    <w:rsid w:val="1DA26C67"/>
    <w:rsid w:val="1DB571C9"/>
    <w:rsid w:val="1DBF6F58"/>
    <w:rsid w:val="1DFC5003"/>
    <w:rsid w:val="1E2527AC"/>
    <w:rsid w:val="1E2A3F9F"/>
    <w:rsid w:val="1E65546D"/>
    <w:rsid w:val="1E7B6900"/>
    <w:rsid w:val="1E933E22"/>
    <w:rsid w:val="1EB60A31"/>
    <w:rsid w:val="1EC6457D"/>
    <w:rsid w:val="1EC7170B"/>
    <w:rsid w:val="1EC7534C"/>
    <w:rsid w:val="1ECD7160"/>
    <w:rsid w:val="1ED34F83"/>
    <w:rsid w:val="1ED641E3"/>
    <w:rsid w:val="1EED4935"/>
    <w:rsid w:val="1EF15FC6"/>
    <w:rsid w:val="1F196F16"/>
    <w:rsid w:val="1F1F544D"/>
    <w:rsid w:val="1F294330"/>
    <w:rsid w:val="1F2A3EE6"/>
    <w:rsid w:val="1F5164BE"/>
    <w:rsid w:val="1F530AFF"/>
    <w:rsid w:val="1F550636"/>
    <w:rsid w:val="1F6725BD"/>
    <w:rsid w:val="1F6F0182"/>
    <w:rsid w:val="1F751014"/>
    <w:rsid w:val="1F7A16FF"/>
    <w:rsid w:val="1F841E94"/>
    <w:rsid w:val="1F86410F"/>
    <w:rsid w:val="1F987D78"/>
    <w:rsid w:val="1FAD0B55"/>
    <w:rsid w:val="1FB57B5F"/>
    <w:rsid w:val="1FBA786C"/>
    <w:rsid w:val="1FC55FF4"/>
    <w:rsid w:val="1FDF7221"/>
    <w:rsid w:val="1FE07DD2"/>
    <w:rsid w:val="1FF72B1D"/>
    <w:rsid w:val="2000702C"/>
    <w:rsid w:val="201952D2"/>
    <w:rsid w:val="2020109E"/>
    <w:rsid w:val="20220096"/>
    <w:rsid w:val="202816B6"/>
    <w:rsid w:val="20352DB6"/>
    <w:rsid w:val="204E725A"/>
    <w:rsid w:val="205050F3"/>
    <w:rsid w:val="20665891"/>
    <w:rsid w:val="208241B4"/>
    <w:rsid w:val="208F5999"/>
    <w:rsid w:val="20B05494"/>
    <w:rsid w:val="20BD4F1E"/>
    <w:rsid w:val="20D109C9"/>
    <w:rsid w:val="20EE5770"/>
    <w:rsid w:val="2107261C"/>
    <w:rsid w:val="21147FEE"/>
    <w:rsid w:val="2132760F"/>
    <w:rsid w:val="213F7E47"/>
    <w:rsid w:val="21592FEC"/>
    <w:rsid w:val="215B2DFE"/>
    <w:rsid w:val="215C5CD9"/>
    <w:rsid w:val="215F2E6D"/>
    <w:rsid w:val="218B2E3C"/>
    <w:rsid w:val="219E13DD"/>
    <w:rsid w:val="21B5456C"/>
    <w:rsid w:val="21C0289A"/>
    <w:rsid w:val="21C314C7"/>
    <w:rsid w:val="21CB366A"/>
    <w:rsid w:val="21E53DD4"/>
    <w:rsid w:val="21FE67C3"/>
    <w:rsid w:val="21FF567A"/>
    <w:rsid w:val="220019CB"/>
    <w:rsid w:val="22080E1D"/>
    <w:rsid w:val="222E4A4B"/>
    <w:rsid w:val="224564ED"/>
    <w:rsid w:val="225B1C1A"/>
    <w:rsid w:val="22655D1C"/>
    <w:rsid w:val="227A5579"/>
    <w:rsid w:val="227B3EC3"/>
    <w:rsid w:val="22AC6E9D"/>
    <w:rsid w:val="22AF6B28"/>
    <w:rsid w:val="22BF1959"/>
    <w:rsid w:val="22FE3A70"/>
    <w:rsid w:val="23007343"/>
    <w:rsid w:val="230A1D1E"/>
    <w:rsid w:val="230F3D0A"/>
    <w:rsid w:val="232E3EB1"/>
    <w:rsid w:val="23341448"/>
    <w:rsid w:val="23385650"/>
    <w:rsid w:val="23425BAE"/>
    <w:rsid w:val="23517B9F"/>
    <w:rsid w:val="23531B69"/>
    <w:rsid w:val="235C6C70"/>
    <w:rsid w:val="237F04EF"/>
    <w:rsid w:val="23841437"/>
    <w:rsid w:val="238A3CA3"/>
    <w:rsid w:val="23AA4BFB"/>
    <w:rsid w:val="23AF4708"/>
    <w:rsid w:val="23C16A9A"/>
    <w:rsid w:val="23C465C3"/>
    <w:rsid w:val="23E66003"/>
    <w:rsid w:val="23F80076"/>
    <w:rsid w:val="23FE2FB7"/>
    <w:rsid w:val="23FE3AF7"/>
    <w:rsid w:val="241B7142"/>
    <w:rsid w:val="24452007"/>
    <w:rsid w:val="244802C7"/>
    <w:rsid w:val="244C0B39"/>
    <w:rsid w:val="245A32E7"/>
    <w:rsid w:val="24635935"/>
    <w:rsid w:val="24660E6A"/>
    <w:rsid w:val="24665559"/>
    <w:rsid w:val="24691825"/>
    <w:rsid w:val="248E0BEE"/>
    <w:rsid w:val="249222CA"/>
    <w:rsid w:val="24B056E4"/>
    <w:rsid w:val="24CC572F"/>
    <w:rsid w:val="24CF65FC"/>
    <w:rsid w:val="24D258A5"/>
    <w:rsid w:val="24DA6A74"/>
    <w:rsid w:val="24DB4BCD"/>
    <w:rsid w:val="24F602A0"/>
    <w:rsid w:val="250025A0"/>
    <w:rsid w:val="25296C9F"/>
    <w:rsid w:val="25401D76"/>
    <w:rsid w:val="2544236B"/>
    <w:rsid w:val="25453733"/>
    <w:rsid w:val="256C3562"/>
    <w:rsid w:val="257F6C45"/>
    <w:rsid w:val="258C736F"/>
    <w:rsid w:val="25977271"/>
    <w:rsid w:val="259B2D68"/>
    <w:rsid w:val="259E7D45"/>
    <w:rsid w:val="25A6077B"/>
    <w:rsid w:val="25A941CC"/>
    <w:rsid w:val="25A97E1E"/>
    <w:rsid w:val="25B40CD0"/>
    <w:rsid w:val="25BF4424"/>
    <w:rsid w:val="25C17AFA"/>
    <w:rsid w:val="25C251DB"/>
    <w:rsid w:val="25E00E0C"/>
    <w:rsid w:val="25EF379B"/>
    <w:rsid w:val="260C11C1"/>
    <w:rsid w:val="261049C1"/>
    <w:rsid w:val="261E645E"/>
    <w:rsid w:val="26383109"/>
    <w:rsid w:val="2641214D"/>
    <w:rsid w:val="26597FFC"/>
    <w:rsid w:val="26697AAB"/>
    <w:rsid w:val="266D2F42"/>
    <w:rsid w:val="2673065B"/>
    <w:rsid w:val="26746071"/>
    <w:rsid w:val="267839D3"/>
    <w:rsid w:val="26802C75"/>
    <w:rsid w:val="268423E1"/>
    <w:rsid w:val="26890627"/>
    <w:rsid w:val="26937CAB"/>
    <w:rsid w:val="26A43060"/>
    <w:rsid w:val="26BB1EFF"/>
    <w:rsid w:val="26BB2001"/>
    <w:rsid w:val="26C467F8"/>
    <w:rsid w:val="26E35358"/>
    <w:rsid w:val="270E00FE"/>
    <w:rsid w:val="270E298C"/>
    <w:rsid w:val="270E29F5"/>
    <w:rsid w:val="271512D2"/>
    <w:rsid w:val="272A0E33"/>
    <w:rsid w:val="272A2D2F"/>
    <w:rsid w:val="274020AE"/>
    <w:rsid w:val="27446B6F"/>
    <w:rsid w:val="274F752C"/>
    <w:rsid w:val="27520933"/>
    <w:rsid w:val="27584657"/>
    <w:rsid w:val="275E5A93"/>
    <w:rsid w:val="27736226"/>
    <w:rsid w:val="27755DA7"/>
    <w:rsid w:val="277C7F9A"/>
    <w:rsid w:val="279D2924"/>
    <w:rsid w:val="27A52E1A"/>
    <w:rsid w:val="27AC7A9A"/>
    <w:rsid w:val="27C53958"/>
    <w:rsid w:val="27D36D37"/>
    <w:rsid w:val="27DA4B73"/>
    <w:rsid w:val="27E61F25"/>
    <w:rsid w:val="27EC31BB"/>
    <w:rsid w:val="27ED2CBD"/>
    <w:rsid w:val="27F63DA6"/>
    <w:rsid w:val="27FA5CB6"/>
    <w:rsid w:val="280D34EA"/>
    <w:rsid w:val="281466B1"/>
    <w:rsid w:val="281713B7"/>
    <w:rsid w:val="281824A7"/>
    <w:rsid w:val="28312BBF"/>
    <w:rsid w:val="283B7736"/>
    <w:rsid w:val="2852403A"/>
    <w:rsid w:val="285F673E"/>
    <w:rsid w:val="28644CCA"/>
    <w:rsid w:val="28687E65"/>
    <w:rsid w:val="28732D83"/>
    <w:rsid w:val="288F6949"/>
    <w:rsid w:val="28911AF2"/>
    <w:rsid w:val="289151CA"/>
    <w:rsid w:val="28A10C81"/>
    <w:rsid w:val="28A2680F"/>
    <w:rsid w:val="28B63487"/>
    <w:rsid w:val="28DF17A9"/>
    <w:rsid w:val="28EB31BC"/>
    <w:rsid w:val="28EB583C"/>
    <w:rsid w:val="28EC2844"/>
    <w:rsid w:val="28F402DA"/>
    <w:rsid w:val="28FC78BE"/>
    <w:rsid w:val="29000A40"/>
    <w:rsid w:val="290F29AF"/>
    <w:rsid w:val="292D0766"/>
    <w:rsid w:val="293634F4"/>
    <w:rsid w:val="29600B3C"/>
    <w:rsid w:val="29606D8E"/>
    <w:rsid w:val="29671ECA"/>
    <w:rsid w:val="29770361"/>
    <w:rsid w:val="2985201E"/>
    <w:rsid w:val="29C55899"/>
    <w:rsid w:val="29D3130E"/>
    <w:rsid w:val="29F2147C"/>
    <w:rsid w:val="2A0C4A40"/>
    <w:rsid w:val="2A0D3DED"/>
    <w:rsid w:val="2A104310"/>
    <w:rsid w:val="2A134AF4"/>
    <w:rsid w:val="2A255C2B"/>
    <w:rsid w:val="2A2B7BC9"/>
    <w:rsid w:val="2A3A5DF9"/>
    <w:rsid w:val="2A4926C2"/>
    <w:rsid w:val="2A4B107A"/>
    <w:rsid w:val="2A4D2BFD"/>
    <w:rsid w:val="2A530EDF"/>
    <w:rsid w:val="2A574428"/>
    <w:rsid w:val="2A5F6992"/>
    <w:rsid w:val="2A7949E3"/>
    <w:rsid w:val="2A80647C"/>
    <w:rsid w:val="2A8E62B6"/>
    <w:rsid w:val="2A9572CC"/>
    <w:rsid w:val="2AA9206F"/>
    <w:rsid w:val="2AD81233"/>
    <w:rsid w:val="2AE63EFE"/>
    <w:rsid w:val="2B053749"/>
    <w:rsid w:val="2B195446"/>
    <w:rsid w:val="2B2E227F"/>
    <w:rsid w:val="2B2F07C6"/>
    <w:rsid w:val="2B3404E2"/>
    <w:rsid w:val="2B363CF4"/>
    <w:rsid w:val="2B3A7305"/>
    <w:rsid w:val="2B425FD0"/>
    <w:rsid w:val="2B4268A6"/>
    <w:rsid w:val="2B536BAA"/>
    <w:rsid w:val="2B8C79C6"/>
    <w:rsid w:val="2B9B40AD"/>
    <w:rsid w:val="2B9B4F58"/>
    <w:rsid w:val="2BA3696C"/>
    <w:rsid w:val="2BAA0794"/>
    <w:rsid w:val="2BB67A51"/>
    <w:rsid w:val="2BB769EE"/>
    <w:rsid w:val="2BB8130D"/>
    <w:rsid w:val="2BC058C2"/>
    <w:rsid w:val="2BC1223D"/>
    <w:rsid w:val="2BC40014"/>
    <w:rsid w:val="2BC51B34"/>
    <w:rsid w:val="2BDE3F9A"/>
    <w:rsid w:val="2BE07D12"/>
    <w:rsid w:val="2BF95140"/>
    <w:rsid w:val="2C063C1D"/>
    <w:rsid w:val="2C0B194E"/>
    <w:rsid w:val="2C1A4F62"/>
    <w:rsid w:val="2C3447BE"/>
    <w:rsid w:val="2C3C07B5"/>
    <w:rsid w:val="2C3D3C75"/>
    <w:rsid w:val="2C4B420E"/>
    <w:rsid w:val="2C56006A"/>
    <w:rsid w:val="2C5F50DB"/>
    <w:rsid w:val="2C660165"/>
    <w:rsid w:val="2C6619D7"/>
    <w:rsid w:val="2C6A0BA3"/>
    <w:rsid w:val="2C6E17C2"/>
    <w:rsid w:val="2C8A76F4"/>
    <w:rsid w:val="2C931BC6"/>
    <w:rsid w:val="2CA45E14"/>
    <w:rsid w:val="2CB43679"/>
    <w:rsid w:val="2CB62CA6"/>
    <w:rsid w:val="2CD40261"/>
    <w:rsid w:val="2CEE34EF"/>
    <w:rsid w:val="2CF605F7"/>
    <w:rsid w:val="2D016FE9"/>
    <w:rsid w:val="2D14362B"/>
    <w:rsid w:val="2D2E304F"/>
    <w:rsid w:val="2D3C07FE"/>
    <w:rsid w:val="2D5756FC"/>
    <w:rsid w:val="2D5D5591"/>
    <w:rsid w:val="2D74743A"/>
    <w:rsid w:val="2D7C11D4"/>
    <w:rsid w:val="2D7F4766"/>
    <w:rsid w:val="2D8D3A62"/>
    <w:rsid w:val="2DAF3E40"/>
    <w:rsid w:val="2DBE7F60"/>
    <w:rsid w:val="2DF6381D"/>
    <w:rsid w:val="2DF6788C"/>
    <w:rsid w:val="2E0D1588"/>
    <w:rsid w:val="2E3944B7"/>
    <w:rsid w:val="2E4749F8"/>
    <w:rsid w:val="2E4C1B78"/>
    <w:rsid w:val="2E73313B"/>
    <w:rsid w:val="2E866E5E"/>
    <w:rsid w:val="2E9077CD"/>
    <w:rsid w:val="2EA916B2"/>
    <w:rsid w:val="2EB46A04"/>
    <w:rsid w:val="2EB84F76"/>
    <w:rsid w:val="2EC62DA5"/>
    <w:rsid w:val="2ECB7077"/>
    <w:rsid w:val="2EED318E"/>
    <w:rsid w:val="2EFE3F3B"/>
    <w:rsid w:val="2F0F1794"/>
    <w:rsid w:val="2F176141"/>
    <w:rsid w:val="2F1A0856"/>
    <w:rsid w:val="2F2B5B05"/>
    <w:rsid w:val="2F475C7E"/>
    <w:rsid w:val="2F486024"/>
    <w:rsid w:val="2F523B34"/>
    <w:rsid w:val="2F5E78CC"/>
    <w:rsid w:val="2F681310"/>
    <w:rsid w:val="2F6C283B"/>
    <w:rsid w:val="2F743B89"/>
    <w:rsid w:val="2F7E2877"/>
    <w:rsid w:val="2F8567D8"/>
    <w:rsid w:val="2F8B5040"/>
    <w:rsid w:val="2F9107C4"/>
    <w:rsid w:val="2F961B57"/>
    <w:rsid w:val="2FDC6A42"/>
    <w:rsid w:val="2FE65B09"/>
    <w:rsid w:val="2FFF53A8"/>
    <w:rsid w:val="30047098"/>
    <w:rsid w:val="30077F63"/>
    <w:rsid w:val="30115CE5"/>
    <w:rsid w:val="30135C1F"/>
    <w:rsid w:val="30191760"/>
    <w:rsid w:val="3028092A"/>
    <w:rsid w:val="302F54E7"/>
    <w:rsid w:val="304863A9"/>
    <w:rsid w:val="306C4DF1"/>
    <w:rsid w:val="30726790"/>
    <w:rsid w:val="30801AC4"/>
    <w:rsid w:val="30823D65"/>
    <w:rsid w:val="30831C53"/>
    <w:rsid w:val="308E438B"/>
    <w:rsid w:val="30A43A04"/>
    <w:rsid w:val="30C87FB8"/>
    <w:rsid w:val="30CB1DAF"/>
    <w:rsid w:val="30E90E2B"/>
    <w:rsid w:val="30ED02EA"/>
    <w:rsid w:val="30FF267A"/>
    <w:rsid w:val="310A2A14"/>
    <w:rsid w:val="310F59F0"/>
    <w:rsid w:val="31395BA8"/>
    <w:rsid w:val="3141666D"/>
    <w:rsid w:val="31480833"/>
    <w:rsid w:val="314B14BF"/>
    <w:rsid w:val="3158219E"/>
    <w:rsid w:val="316D537E"/>
    <w:rsid w:val="31716348"/>
    <w:rsid w:val="317355F2"/>
    <w:rsid w:val="3185517F"/>
    <w:rsid w:val="3185793C"/>
    <w:rsid w:val="319475D5"/>
    <w:rsid w:val="31975317"/>
    <w:rsid w:val="31A87524"/>
    <w:rsid w:val="31B06C89"/>
    <w:rsid w:val="31B91778"/>
    <w:rsid w:val="31C2569E"/>
    <w:rsid w:val="31C96BD0"/>
    <w:rsid w:val="31D04385"/>
    <w:rsid w:val="31D9377A"/>
    <w:rsid w:val="31E15891"/>
    <w:rsid w:val="31F043F4"/>
    <w:rsid w:val="32170EE1"/>
    <w:rsid w:val="325066A8"/>
    <w:rsid w:val="32563FE3"/>
    <w:rsid w:val="325D3410"/>
    <w:rsid w:val="3260226B"/>
    <w:rsid w:val="327652E9"/>
    <w:rsid w:val="327A5FF1"/>
    <w:rsid w:val="32A55CC0"/>
    <w:rsid w:val="32A937D2"/>
    <w:rsid w:val="32C95971"/>
    <w:rsid w:val="32CF5928"/>
    <w:rsid w:val="32E41009"/>
    <w:rsid w:val="32E9078F"/>
    <w:rsid w:val="32ED34FF"/>
    <w:rsid w:val="330856D0"/>
    <w:rsid w:val="33316646"/>
    <w:rsid w:val="333A06E2"/>
    <w:rsid w:val="33462B8C"/>
    <w:rsid w:val="33491C13"/>
    <w:rsid w:val="335E45B2"/>
    <w:rsid w:val="33680D19"/>
    <w:rsid w:val="33691E57"/>
    <w:rsid w:val="336E025D"/>
    <w:rsid w:val="33735D99"/>
    <w:rsid w:val="33736E76"/>
    <w:rsid w:val="337570A4"/>
    <w:rsid w:val="33833CFC"/>
    <w:rsid w:val="33A269EC"/>
    <w:rsid w:val="33A856B1"/>
    <w:rsid w:val="33A930DF"/>
    <w:rsid w:val="33AB2922"/>
    <w:rsid w:val="33B73314"/>
    <w:rsid w:val="33C50B9E"/>
    <w:rsid w:val="33D30EC6"/>
    <w:rsid w:val="33D867E1"/>
    <w:rsid w:val="33D976B3"/>
    <w:rsid w:val="33DB2EFB"/>
    <w:rsid w:val="33DC6CF8"/>
    <w:rsid w:val="33EE36D1"/>
    <w:rsid w:val="33F54490"/>
    <w:rsid w:val="33F85833"/>
    <w:rsid w:val="33F94458"/>
    <w:rsid w:val="340B1EAD"/>
    <w:rsid w:val="34111989"/>
    <w:rsid w:val="341266A4"/>
    <w:rsid w:val="3429350C"/>
    <w:rsid w:val="343C76C2"/>
    <w:rsid w:val="343D0166"/>
    <w:rsid w:val="343D6C24"/>
    <w:rsid w:val="34404C1B"/>
    <w:rsid w:val="345873A9"/>
    <w:rsid w:val="347C5D20"/>
    <w:rsid w:val="348C4EDB"/>
    <w:rsid w:val="34997F68"/>
    <w:rsid w:val="34AF7CC9"/>
    <w:rsid w:val="34B14942"/>
    <w:rsid w:val="34E526B4"/>
    <w:rsid w:val="34F03DC0"/>
    <w:rsid w:val="34FE7262"/>
    <w:rsid w:val="352407FC"/>
    <w:rsid w:val="352612DF"/>
    <w:rsid w:val="35284201"/>
    <w:rsid w:val="35322B1F"/>
    <w:rsid w:val="3535498A"/>
    <w:rsid w:val="35471E10"/>
    <w:rsid w:val="354F3660"/>
    <w:rsid w:val="355004C3"/>
    <w:rsid w:val="3556146D"/>
    <w:rsid w:val="355724F0"/>
    <w:rsid w:val="356B5D07"/>
    <w:rsid w:val="35810326"/>
    <w:rsid w:val="358C5E8C"/>
    <w:rsid w:val="358D7C9B"/>
    <w:rsid w:val="358E2186"/>
    <w:rsid w:val="35AA4C6A"/>
    <w:rsid w:val="35B90B5D"/>
    <w:rsid w:val="35C81F43"/>
    <w:rsid w:val="35CC1726"/>
    <w:rsid w:val="35DE239E"/>
    <w:rsid w:val="35E06512"/>
    <w:rsid w:val="35E33F92"/>
    <w:rsid w:val="36010FB1"/>
    <w:rsid w:val="360212D1"/>
    <w:rsid w:val="360C7B72"/>
    <w:rsid w:val="360E2480"/>
    <w:rsid w:val="361327DB"/>
    <w:rsid w:val="361F1CFE"/>
    <w:rsid w:val="36371201"/>
    <w:rsid w:val="363720E3"/>
    <w:rsid w:val="3639711B"/>
    <w:rsid w:val="363E765D"/>
    <w:rsid w:val="36592830"/>
    <w:rsid w:val="36632356"/>
    <w:rsid w:val="367409D2"/>
    <w:rsid w:val="367B56C5"/>
    <w:rsid w:val="367C5173"/>
    <w:rsid w:val="36915D46"/>
    <w:rsid w:val="36B81FB7"/>
    <w:rsid w:val="36CA31B0"/>
    <w:rsid w:val="36D20797"/>
    <w:rsid w:val="36E65B3A"/>
    <w:rsid w:val="36FF3742"/>
    <w:rsid w:val="370346A6"/>
    <w:rsid w:val="37113475"/>
    <w:rsid w:val="37252E94"/>
    <w:rsid w:val="37296474"/>
    <w:rsid w:val="373227C5"/>
    <w:rsid w:val="37405833"/>
    <w:rsid w:val="374101FF"/>
    <w:rsid w:val="375869AC"/>
    <w:rsid w:val="375B253A"/>
    <w:rsid w:val="37666B6B"/>
    <w:rsid w:val="37675674"/>
    <w:rsid w:val="376B1978"/>
    <w:rsid w:val="37940CA8"/>
    <w:rsid w:val="37D848CF"/>
    <w:rsid w:val="37DA41AF"/>
    <w:rsid w:val="37DB157C"/>
    <w:rsid w:val="37DB3C7D"/>
    <w:rsid w:val="37EE7D30"/>
    <w:rsid w:val="37F62976"/>
    <w:rsid w:val="37F77F19"/>
    <w:rsid w:val="38042FDA"/>
    <w:rsid w:val="381C3F20"/>
    <w:rsid w:val="3822692C"/>
    <w:rsid w:val="38343F2A"/>
    <w:rsid w:val="38490F9C"/>
    <w:rsid w:val="384C1631"/>
    <w:rsid w:val="38542754"/>
    <w:rsid w:val="386C03A0"/>
    <w:rsid w:val="386D6DD1"/>
    <w:rsid w:val="387C4786"/>
    <w:rsid w:val="38850AD8"/>
    <w:rsid w:val="38B10FD7"/>
    <w:rsid w:val="38B2326B"/>
    <w:rsid w:val="38BD498D"/>
    <w:rsid w:val="38D81B11"/>
    <w:rsid w:val="38ED2653"/>
    <w:rsid w:val="38FC71A8"/>
    <w:rsid w:val="38FD1F03"/>
    <w:rsid w:val="39020983"/>
    <w:rsid w:val="39037F6C"/>
    <w:rsid w:val="39214610"/>
    <w:rsid w:val="39317DFF"/>
    <w:rsid w:val="39464964"/>
    <w:rsid w:val="395224D9"/>
    <w:rsid w:val="39535FC7"/>
    <w:rsid w:val="395601FC"/>
    <w:rsid w:val="397B4E62"/>
    <w:rsid w:val="39972B1A"/>
    <w:rsid w:val="399A1410"/>
    <w:rsid w:val="39C47D94"/>
    <w:rsid w:val="39CD1539"/>
    <w:rsid w:val="39CD5D32"/>
    <w:rsid w:val="39DA1DFA"/>
    <w:rsid w:val="39DC71EB"/>
    <w:rsid w:val="39DD5D2E"/>
    <w:rsid w:val="39E01A69"/>
    <w:rsid w:val="3A045F91"/>
    <w:rsid w:val="3A076679"/>
    <w:rsid w:val="3A0A0953"/>
    <w:rsid w:val="3A211C22"/>
    <w:rsid w:val="3A2C4127"/>
    <w:rsid w:val="3A4F0AA8"/>
    <w:rsid w:val="3A543DA5"/>
    <w:rsid w:val="3A5576B6"/>
    <w:rsid w:val="3A682780"/>
    <w:rsid w:val="3A697EB7"/>
    <w:rsid w:val="3A7F0311"/>
    <w:rsid w:val="3A8538B6"/>
    <w:rsid w:val="3A884EF1"/>
    <w:rsid w:val="3A8C5141"/>
    <w:rsid w:val="3AA52853"/>
    <w:rsid w:val="3AA648FE"/>
    <w:rsid w:val="3AAA7D3D"/>
    <w:rsid w:val="3AD117FB"/>
    <w:rsid w:val="3AD4138A"/>
    <w:rsid w:val="3AD72904"/>
    <w:rsid w:val="3AD75A09"/>
    <w:rsid w:val="3ADC5AFD"/>
    <w:rsid w:val="3AE17BBC"/>
    <w:rsid w:val="3B007A89"/>
    <w:rsid w:val="3B0F5ABD"/>
    <w:rsid w:val="3B2F4F75"/>
    <w:rsid w:val="3B31477D"/>
    <w:rsid w:val="3B315914"/>
    <w:rsid w:val="3B422101"/>
    <w:rsid w:val="3B4715CB"/>
    <w:rsid w:val="3B5008D7"/>
    <w:rsid w:val="3B7F15E2"/>
    <w:rsid w:val="3B8536A6"/>
    <w:rsid w:val="3B9F0C51"/>
    <w:rsid w:val="3BA00572"/>
    <w:rsid w:val="3BB1021B"/>
    <w:rsid w:val="3BE15B0C"/>
    <w:rsid w:val="3BF72A83"/>
    <w:rsid w:val="3C135790"/>
    <w:rsid w:val="3C1752F7"/>
    <w:rsid w:val="3C193171"/>
    <w:rsid w:val="3C1E3214"/>
    <w:rsid w:val="3C2528C6"/>
    <w:rsid w:val="3C371BD0"/>
    <w:rsid w:val="3C4F1FEA"/>
    <w:rsid w:val="3C5B6745"/>
    <w:rsid w:val="3C683B38"/>
    <w:rsid w:val="3C686571"/>
    <w:rsid w:val="3C6F5E3B"/>
    <w:rsid w:val="3C83525B"/>
    <w:rsid w:val="3C87375A"/>
    <w:rsid w:val="3C88531F"/>
    <w:rsid w:val="3C8D7A42"/>
    <w:rsid w:val="3C8E189D"/>
    <w:rsid w:val="3CA22EFE"/>
    <w:rsid w:val="3CB8043D"/>
    <w:rsid w:val="3CB94BCA"/>
    <w:rsid w:val="3CC35212"/>
    <w:rsid w:val="3CC50225"/>
    <w:rsid w:val="3CD967E3"/>
    <w:rsid w:val="3CDE231E"/>
    <w:rsid w:val="3D245A63"/>
    <w:rsid w:val="3D36346C"/>
    <w:rsid w:val="3D4269DA"/>
    <w:rsid w:val="3D430EA3"/>
    <w:rsid w:val="3D432D8E"/>
    <w:rsid w:val="3D47560D"/>
    <w:rsid w:val="3D523BCD"/>
    <w:rsid w:val="3D645169"/>
    <w:rsid w:val="3D6933DE"/>
    <w:rsid w:val="3D7C3859"/>
    <w:rsid w:val="3D80607F"/>
    <w:rsid w:val="3D8F2120"/>
    <w:rsid w:val="3D8F30A0"/>
    <w:rsid w:val="3D990E61"/>
    <w:rsid w:val="3DA327E5"/>
    <w:rsid w:val="3DB01C7C"/>
    <w:rsid w:val="3DB334D8"/>
    <w:rsid w:val="3DBA1ADA"/>
    <w:rsid w:val="3DC355A6"/>
    <w:rsid w:val="3DC42D6E"/>
    <w:rsid w:val="3DD009EA"/>
    <w:rsid w:val="3DD122A2"/>
    <w:rsid w:val="3DD64752"/>
    <w:rsid w:val="3DD80DF7"/>
    <w:rsid w:val="3DE17E96"/>
    <w:rsid w:val="3DE26317"/>
    <w:rsid w:val="3DEB1B40"/>
    <w:rsid w:val="3DFC4E7F"/>
    <w:rsid w:val="3E2D1C0D"/>
    <w:rsid w:val="3E352B5B"/>
    <w:rsid w:val="3E3A2755"/>
    <w:rsid w:val="3E463101"/>
    <w:rsid w:val="3E5717D0"/>
    <w:rsid w:val="3E5E04B0"/>
    <w:rsid w:val="3E5F4189"/>
    <w:rsid w:val="3E6C1A3F"/>
    <w:rsid w:val="3E734A16"/>
    <w:rsid w:val="3E752133"/>
    <w:rsid w:val="3E7A5DA4"/>
    <w:rsid w:val="3E953235"/>
    <w:rsid w:val="3EAA3B18"/>
    <w:rsid w:val="3EAA555F"/>
    <w:rsid w:val="3EBD0BAE"/>
    <w:rsid w:val="3EC3774B"/>
    <w:rsid w:val="3ECC3927"/>
    <w:rsid w:val="3ECD2095"/>
    <w:rsid w:val="3EEF22EE"/>
    <w:rsid w:val="3EF02AD3"/>
    <w:rsid w:val="3F024C1A"/>
    <w:rsid w:val="3F0D0FA0"/>
    <w:rsid w:val="3F21052E"/>
    <w:rsid w:val="3F330C34"/>
    <w:rsid w:val="3F3917F4"/>
    <w:rsid w:val="3F397A0D"/>
    <w:rsid w:val="3F4A39C9"/>
    <w:rsid w:val="3F625E8E"/>
    <w:rsid w:val="3F6A673B"/>
    <w:rsid w:val="3F8C2A74"/>
    <w:rsid w:val="3FA70307"/>
    <w:rsid w:val="3FA7458E"/>
    <w:rsid w:val="3FB22390"/>
    <w:rsid w:val="3FCF1529"/>
    <w:rsid w:val="3FDD2A57"/>
    <w:rsid w:val="3FE37E33"/>
    <w:rsid w:val="3FF027C2"/>
    <w:rsid w:val="3FF55C7D"/>
    <w:rsid w:val="3FF676AC"/>
    <w:rsid w:val="400E03CE"/>
    <w:rsid w:val="401171AD"/>
    <w:rsid w:val="40225AF1"/>
    <w:rsid w:val="403D5148"/>
    <w:rsid w:val="403D6B94"/>
    <w:rsid w:val="40507C98"/>
    <w:rsid w:val="40580367"/>
    <w:rsid w:val="4061657E"/>
    <w:rsid w:val="40767673"/>
    <w:rsid w:val="407707ED"/>
    <w:rsid w:val="40892318"/>
    <w:rsid w:val="408E0789"/>
    <w:rsid w:val="40A76FA9"/>
    <w:rsid w:val="40AC084A"/>
    <w:rsid w:val="40D05FDB"/>
    <w:rsid w:val="40DB515E"/>
    <w:rsid w:val="40E30197"/>
    <w:rsid w:val="40E63D94"/>
    <w:rsid w:val="40EA1367"/>
    <w:rsid w:val="40EB151F"/>
    <w:rsid w:val="40ED4F53"/>
    <w:rsid w:val="40F25A91"/>
    <w:rsid w:val="411C387B"/>
    <w:rsid w:val="41292B74"/>
    <w:rsid w:val="41406E31"/>
    <w:rsid w:val="414E3836"/>
    <w:rsid w:val="41592854"/>
    <w:rsid w:val="416E516B"/>
    <w:rsid w:val="418812BB"/>
    <w:rsid w:val="418D4040"/>
    <w:rsid w:val="419E7FFC"/>
    <w:rsid w:val="419F3079"/>
    <w:rsid w:val="41AE3A67"/>
    <w:rsid w:val="41C95125"/>
    <w:rsid w:val="41EA02ED"/>
    <w:rsid w:val="42075BA1"/>
    <w:rsid w:val="4215282E"/>
    <w:rsid w:val="42225E0B"/>
    <w:rsid w:val="42383FB6"/>
    <w:rsid w:val="423D7815"/>
    <w:rsid w:val="424F30C2"/>
    <w:rsid w:val="425E14DB"/>
    <w:rsid w:val="42621029"/>
    <w:rsid w:val="426B4382"/>
    <w:rsid w:val="42725710"/>
    <w:rsid w:val="427358D4"/>
    <w:rsid w:val="42736D87"/>
    <w:rsid w:val="427E086F"/>
    <w:rsid w:val="42826F4F"/>
    <w:rsid w:val="428B0580"/>
    <w:rsid w:val="429A4E70"/>
    <w:rsid w:val="429E14C4"/>
    <w:rsid w:val="42A26186"/>
    <w:rsid w:val="42A94EAA"/>
    <w:rsid w:val="42BA0E65"/>
    <w:rsid w:val="42C13D5C"/>
    <w:rsid w:val="42DD74CF"/>
    <w:rsid w:val="42DF3579"/>
    <w:rsid w:val="42E264C2"/>
    <w:rsid w:val="42E85CD3"/>
    <w:rsid w:val="42F54D63"/>
    <w:rsid w:val="42FD1491"/>
    <w:rsid w:val="43011E27"/>
    <w:rsid w:val="430D368B"/>
    <w:rsid w:val="430F20A0"/>
    <w:rsid w:val="43135F0F"/>
    <w:rsid w:val="431B6CC7"/>
    <w:rsid w:val="43225F65"/>
    <w:rsid w:val="435720D9"/>
    <w:rsid w:val="43615785"/>
    <w:rsid w:val="43732880"/>
    <w:rsid w:val="43865952"/>
    <w:rsid w:val="438F0BB0"/>
    <w:rsid w:val="43993170"/>
    <w:rsid w:val="43BF04EA"/>
    <w:rsid w:val="43C05A1E"/>
    <w:rsid w:val="43CF4932"/>
    <w:rsid w:val="43D22CDA"/>
    <w:rsid w:val="43D354DC"/>
    <w:rsid w:val="4405353A"/>
    <w:rsid w:val="44063CF3"/>
    <w:rsid w:val="44072973"/>
    <w:rsid w:val="44095C00"/>
    <w:rsid w:val="44117E2D"/>
    <w:rsid w:val="441822E7"/>
    <w:rsid w:val="442F13DF"/>
    <w:rsid w:val="44426345"/>
    <w:rsid w:val="444B2816"/>
    <w:rsid w:val="445279AA"/>
    <w:rsid w:val="4453331F"/>
    <w:rsid w:val="445F3A86"/>
    <w:rsid w:val="4478636B"/>
    <w:rsid w:val="447A0DB3"/>
    <w:rsid w:val="447D2B53"/>
    <w:rsid w:val="4481712B"/>
    <w:rsid w:val="44901E7E"/>
    <w:rsid w:val="449F54A7"/>
    <w:rsid w:val="44A1052F"/>
    <w:rsid w:val="44C93406"/>
    <w:rsid w:val="44D74994"/>
    <w:rsid w:val="44DD0E3B"/>
    <w:rsid w:val="44E67CEF"/>
    <w:rsid w:val="44F62875"/>
    <w:rsid w:val="451730A2"/>
    <w:rsid w:val="451955A3"/>
    <w:rsid w:val="45205199"/>
    <w:rsid w:val="45260B70"/>
    <w:rsid w:val="452B69EE"/>
    <w:rsid w:val="45357C2D"/>
    <w:rsid w:val="453A003B"/>
    <w:rsid w:val="45467C1A"/>
    <w:rsid w:val="45523E0A"/>
    <w:rsid w:val="45603F46"/>
    <w:rsid w:val="45784EE5"/>
    <w:rsid w:val="457C33A8"/>
    <w:rsid w:val="458804FE"/>
    <w:rsid w:val="458D57CB"/>
    <w:rsid w:val="4595726A"/>
    <w:rsid w:val="45BE7193"/>
    <w:rsid w:val="45C67177"/>
    <w:rsid w:val="45CC4824"/>
    <w:rsid w:val="45D048BE"/>
    <w:rsid w:val="45DE626C"/>
    <w:rsid w:val="45EB660D"/>
    <w:rsid w:val="45F13477"/>
    <w:rsid w:val="45FD7B3D"/>
    <w:rsid w:val="460A10C2"/>
    <w:rsid w:val="46220C85"/>
    <w:rsid w:val="46230254"/>
    <w:rsid w:val="46244F73"/>
    <w:rsid w:val="46287B26"/>
    <w:rsid w:val="462A00B0"/>
    <w:rsid w:val="462D24EF"/>
    <w:rsid w:val="46534E0B"/>
    <w:rsid w:val="4670640B"/>
    <w:rsid w:val="46753897"/>
    <w:rsid w:val="467A71EB"/>
    <w:rsid w:val="46867477"/>
    <w:rsid w:val="468A02AD"/>
    <w:rsid w:val="468B3DD1"/>
    <w:rsid w:val="469043B7"/>
    <w:rsid w:val="46BF4C9C"/>
    <w:rsid w:val="46C936C8"/>
    <w:rsid w:val="46CB1893"/>
    <w:rsid w:val="46D87DE5"/>
    <w:rsid w:val="46E556A4"/>
    <w:rsid w:val="46E97F6B"/>
    <w:rsid w:val="46EA25E1"/>
    <w:rsid w:val="46EB1077"/>
    <w:rsid w:val="470C2558"/>
    <w:rsid w:val="472127B7"/>
    <w:rsid w:val="472165B7"/>
    <w:rsid w:val="47277064"/>
    <w:rsid w:val="47323C17"/>
    <w:rsid w:val="4743767B"/>
    <w:rsid w:val="474C305D"/>
    <w:rsid w:val="474E29C1"/>
    <w:rsid w:val="475569C5"/>
    <w:rsid w:val="475A49C5"/>
    <w:rsid w:val="475E44B5"/>
    <w:rsid w:val="476121D8"/>
    <w:rsid w:val="476A063C"/>
    <w:rsid w:val="477C748E"/>
    <w:rsid w:val="478A7058"/>
    <w:rsid w:val="47941208"/>
    <w:rsid w:val="47A101B2"/>
    <w:rsid w:val="47BF2852"/>
    <w:rsid w:val="47BF386C"/>
    <w:rsid w:val="47C3256A"/>
    <w:rsid w:val="47C95C6C"/>
    <w:rsid w:val="47EC7022"/>
    <w:rsid w:val="47FC7940"/>
    <w:rsid w:val="48030B33"/>
    <w:rsid w:val="48046015"/>
    <w:rsid w:val="4819316F"/>
    <w:rsid w:val="482F5E51"/>
    <w:rsid w:val="483F125D"/>
    <w:rsid w:val="48580B32"/>
    <w:rsid w:val="485B43A9"/>
    <w:rsid w:val="48635024"/>
    <w:rsid w:val="487B675C"/>
    <w:rsid w:val="48A95C04"/>
    <w:rsid w:val="48B22238"/>
    <w:rsid w:val="48B33076"/>
    <w:rsid w:val="48C4330A"/>
    <w:rsid w:val="48D55EB3"/>
    <w:rsid w:val="48DA0701"/>
    <w:rsid w:val="48DF324A"/>
    <w:rsid w:val="48E052EC"/>
    <w:rsid w:val="48E65AEE"/>
    <w:rsid w:val="48F80CE7"/>
    <w:rsid w:val="49096FCD"/>
    <w:rsid w:val="491D7C08"/>
    <w:rsid w:val="494625B6"/>
    <w:rsid w:val="49507E2D"/>
    <w:rsid w:val="49512BB1"/>
    <w:rsid w:val="495E0009"/>
    <w:rsid w:val="49641F5D"/>
    <w:rsid w:val="49666B6B"/>
    <w:rsid w:val="496F2CCC"/>
    <w:rsid w:val="498F64FC"/>
    <w:rsid w:val="49AD1724"/>
    <w:rsid w:val="49BE7E39"/>
    <w:rsid w:val="49C40005"/>
    <w:rsid w:val="49C65419"/>
    <w:rsid w:val="49D04BAB"/>
    <w:rsid w:val="49EA0282"/>
    <w:rsid w:val="49EA17C4"/>
    <w:rsid w:val="49EF440A"/>
    <w:rsid w:val="4A1A2F12"/>
    <w:rsid w:val="4A2C7C77"/>
    <w:rsid w:val="4A321C6F"/>
    <w:rsid w:val="4A366D8C"/>
    <w:rsid w:val="4A375709"/>
    <w:rsid w:val="4A475BFC"/>
    <w:rsid w:val="4A4E1094"/>
    <w:rsid w:val="4A561717"/>
    <w:rsid w:val="4A606796"/>
    <w:rsid w:val="4A717D8F"/>
    <w:rsid w:val="4A7D0F83"/>
    <w:rsid w:val="4A834A22"/>
    <w:rsid w:val="4A8815D3"/>
    <w:rsid w:val="4A9454F9"/>
    <w:rsid w:val="4A972DF7"/>
    <w:rsid w:val="4A992274"/>
    <w:rsid w:val="4AA77F21"/>
    <w:rsid w:val="4AAA2276"/>
    <w:rsid w:val="4AB64534"/>
    <w:rsid w:val="4ABD14F2"/>
    <w:rsid w:val="4AC66642"/>
    <w:rsid w:val="4AC87549"/>
    <w:rsid w:val="4AD37353"/>
    <w:rsid w:val="4ADC6651"/>
    <w:rsid w:val="4AE2340C"/>
    <w:rsid w:val="4AE72A13"/>
    <w:rsid w:val="4AFF6999"/>
    <w:rsid w:val="4B0E61F2"/>
    <w:rsid w:val="4B21257E"/>
    <w:rsid w:val="4B290FE3"/>
    <w:rsid w:val="4B322207"/>
    <w:rsid w:val="4B3B5793"/>
    <w:rsid w:val="4B58050B"/>
    <w:rsid w:val="4B5A25F7"/>
    <w:rsid w:val="4B6A0768"/>
    <w:rsid w:val="4B6B0CBD"/>
    <w:rsid w:val="4B705719"/>
    <w:rsid w:val="4B7B47F9"/>
    <w:rsid w:val="4BA563FE"/>
    <w:rsid w:val="4BB77663"/>
    <w:rsid w:val="4BC54DE5"/>
    <w:rsid w:val="4BCB7306"/>
    <w:rsid w:val="4BD52968"/>
    <w:rsid w:val="4BD91D02"/>
    <w:rsid w:val="4BE2600E"/>
    <w:rsid w:val="4BE57820"/>
    <w:rsid w:val="4BF657A1"/>
    <w:rsid w:val="4BFB7B74"/>
    <w:rsid w:val="4C0457A1"/>
    <w:rsid w:val="4C3F2C78"/>
    <w:rsid w:val="4C42244E"/>
    <w:rsid w:val="4C437DCE"/>
    <w:rsid w:val="4C6D3DA8"/>
    <w:rsid w:val="4C727CFA"/>
    <w:rsid w:val="4C88081B"/>
    <w:rsid w:val="4C8872A2"/>
    <w:rsid w:val="4C9C19F3"/>
    <w:rsid w:val="4CA47183"/>
    <w:rsid w:val="4CB7606E"/>
    <w:rsid w:val="4CF745DE"/>
    <w:rsid w:val="4CFC57E0"/>
    <w:rsid w:val="4D087B01"/>
    <w:rsid w:val="4D0B58BC"/>
    <w:rsid w:val="4D0C050F"/>
    <w:rsid w:val="4D0C2AD5"/>
    <w:rsid w:val="4D2059FA"/>
    <w:rsid w:val="4D2E3574"/>
    <w:rsid w:val="4D451B18"/>
    <w:rsid w:val="4D4D5AFE"/>
    <w:rsid w:val="4D502AF2"/>
    <w:rsid w:val="4D5C07F9"/>
    <w:rsid w:val="4D755736"/>
    <w:rsid w:val="4DAC0A3B"/>
    <w:rsid w:val="4DB92102"/>
    <w:rsid w:val="4DBA3E20"/>
    <w:rsid w:val="4DBC5B64"/>
    <w:rsid w:val="4DC679DB"/>
    <w:rsid w:val="4DE61D12"/>
    <w:rsid w:val="4DF1146E"/>
    <w:rsid w:val="4DF82017"/>
    <w:rsid w:val="4E0E661C"/>
    <w:rsid w:val="4E1E3790"/>
    <w:rsid w:val="4E2E44B5"/>
    <w:rsid w:val="4E4C57ED"/>
    <w:rsid w:val="4E5505A6"/>
    <w:rsid w:val="4E820BD8"/>
    <w:rsid w:val="4E874C8C"/>
    <w:rsid w:val="4E8D729C"/>
    <w:rsid w:val="4E8E1C0C"/>
    <w:rsid w:val="4E9609D8"/>
    <w:rsid w:val="4E98004C"/>
    <w:rsid w:val="4EA5208F"/>
    <w:rsid w:val="4EAE617F"/>
    <w:rsid w:val="4EBD702F"/>
    <w:rsid w:val="4EC310A1"/>
    <w:rsid w:val="4EC818B0"/>
    <w:rsid w:val="4ECB59F9"/>
    <w:rsid w:val="4ECE1CAC"/>
    <w:rsid w:val="4EE414BB"/>
    <w:rsid w:val="4EE87B84"/>
    <w:rsid w:val="4EFF65C5"/>
    <w:rsid w:val="4F0052D1"/>
    <w:rsid w:val="4F014784"/>
    <w:rsid w:val="4F0431E6"/>
    <w:rsid w:val="4F1B712F"/>
    <w:rsid w:val="4F1C605F"/>
    <w:rsid w:val="4F254824"/>
    <w:rsid w:val="4F2658BE"/>
    <w:rsid w:val="4F4736A7"/>
    <w:rsid w:val="4F7914EF"/>
    <w:rsid w:val="4F9174FD"/>
    <w:rsid w:val="4F9402D2"/>
    <w:rsid w:val="4FB10142"/>
    <w:rsid w:val="4FB82BD0"/>
    <w:rsid w:val="4FC643B6"/>
    <w:rsid w:val="4FD1578E"/>
    <w:rsid w:val="4FE10E76"/>
    <w:rsid w:val="4FEE2189"/>
    <w:rsid w:val="4FF71C3D"/>
    <w:rsid w:val="50016856"/>
    <w:rsid w:val="5008518B"/>
    <w:rsid w:val="500B32A2"/>
    <w:rsid w:val="502B6647"/>
    <w:rsid w:val="502B6EFE"/>
    <w:rsid w:val="50324E90"/>
    <w:rsid w:val="504C1B11"/>
    <w:rsid w:val="504E68CB"/>
    <w:rsid w:val="505F48A5"/>
    <w:rsid w:val="506472D4"/>
    <w:rsid w:val="50666C7A"/>
    <w:rsid w:val="507460A4"/>
    <w:rsid w:val="5094445D"/>
    <w:rsid w:val="509C0D4E"/>
    <w:rsid w:val="50A23A1E"/>
    <w:rsid w:val="50AC44E3"/>
    <w:rsid w:val="50B57EA9"/>
    <w:rsid w:val="50BC2B26"/>
    <w:rsid w:val="50BE1984"/>
    <w:rsid w:val="50D141C6"/>
    <w:rsid w:val="50D94FDD"/>
    <w:rsid w:val="50F115EA"/>
    <w:rsid w:val="50F72C9C"/>
    <w:rsid w:val="50FC0DB6"/>
    <w:rsid w:val="511107EA"/>
    <w:rsid w:val="511F2007"/>
    <w:rsid w:val="51271E2F"/>
    <w:rsid w:val="51342CAA"/>
    <w:rsid w:val="51366F32"/>
    <w:rsid w:val="51406A38"/>
    <w:rsid w:val="514B4E4E"/>
    <w:rsid w:val="516578E1"/>
    <w:rsid w:val="517174DB"/>
    <w:rsid w:val="518049FF"/>
    <w:rsid w:val="51932FAD"/>
    <w:rsid w:val="51A06E66"/>
    <w:rsid w:val="51AF590D"/>
    <w:rsid w:val="51B475E9"/>
    <w:rsid w:val="51C05FF6"/>
    <w:rsid w:val="51D135DE"/>
    <w:rsid w:val="51DF4444"/>
    <w:rsid w:val="51F65295"/>
    <w:rsid w:val="51F872B4"/>
    <w:rsid w:val="51FD3DB6"/>
    <w:rsid w:val="52097713"/>
    <w:rsid w:val="520C3BB6"/>
    <w:rsid w:val="52252174"/>
    <w:rsid w:val="52295AE6"/>
    <w:rsid w:val="522D0E7F"/>
    <w:rsid w:val="523E4D62"/>
    <w:rsid w:val="5243507E"/>
    <w:rsid w:val="525402A0"/>
    <w:rsid w:val="52554706"/>
    <w:rsid w:val="525F5585"/>
    <w:rsid w:val="528D41E4"/>
    <w:rsid w:val="52BF5C92"/>
    <w:rsid w:val="52C2167A"/>
    <w:rsid w:val="52C7794C"/>
    <w:rsid w:val="52D279CD"/>
    <w:rsid w:val="52D32ADF"/>
    <w:rsid w:val="52E45ACB"/>
    <w:rsid w:val="52E71802"/>
    <w:rsid w:val="52F47AFB"/>
    <w:rsid w:val="53071B37"/>
    <w:rsid w:val="530A5973"/>
    <w:rsid w:val="531169F3"/>
    <w:rsid w:val="531348FB"/>
    <w:rsid w:val="53275D3D"/>
    <w:rsid w:val="533354CF"/>
    <w:rsid w:val="533407C0"/>
    <w:rsid w:val="53346B96"/>
    <w:rsid w:val="535D5DC8"/>
    <w:rsid w:val="537A3167"/>
    <w:rsid w:val="537D2360"/>
    <w:rsid w:val="53811E50"/>
    <w:rsid w:val="53B22465"/>
    <w:rsid w:val="53B72F65"/>
    <w:rsid w:val="53BE3989"/>
    <w:rsid w:val="53D83751"/>
    <w:rsid w:val="53D85151"/>
    <w:rsid w:val="53E844A9"/>
    <w:rsid w:val="53FD2AC2"/>
    <w:rsid w:val="5409404E"/>
    <w:rsid w:val="54134B75"/>
    <w:rsid w:val="54164746"/>
    <w:rsid w:val="541F238F"/>
    <w:rsid w:val="542E2ADC"/>
    <w:rsid w:val="543341B9"/>
    <w:rsid w:val="543415ED"/>
    <w:rsid w:val="5438608E"/>
    <w:rsid w:val="544B7F7E"/>
    <w:rsid w:val="54501D22"/>
    <w:rsid w:val="546146EB"/>
    <w:rsid w:val="54680D66"/>
    <w:rsid w:val="54685AA1"/>
    <w:rsid w:val="547D06FB"/>
    <w:rsid w:val="547D14B1"/>
    <w:rsid w:val="54857DDB"/>
    <w:rsid w:val="548C678B"/>
    <w:rsid w:val="54905199"/>
    <w:rsid w:val="54914216"/>
    <w:rsid w:val="549273A9"/>
    <w:rsid w:val="549405C7"/>
    <w:rsid w:val="549D6C55"/>
    <w:rsid w:val="54CA07F6"/>
    <w:rsid w:val="54E979F3"/>
    <w:rsid w:val="54EF0774"/>
    <w:rsid w:val="54F2448F"/>
    <w:rsid w:val="54FE2E33"/>
    <w:rsid w:val="550B2DC8"/>
    <w:rsid w:val="5540169E"/>
    <w:rsid w:val="55466588"/>
    <w:rsid w:val="5547793A"/>
    <w:rsid w:val="554C32B2"/>
    <w:rsid w:val="55501E76"/>
    <w:rsid w:val="55701D69"/>
    <w:rsid w:val="55731E3E"/>
    <w:rsid w:val="557A0272"/>
    <w:rsid w:val="557E29D7"/>
    <w:rsid w:val="558F2195"/>
    <w:rsid w:val="55900035"/>
    <w:rsid w:val="55AF798B"/>
    <w:rsid w:val="55CA70E8"/>
    <w:rsid w:val="55ED4967"/>
    <w:rsid w:val="55F350C4"/>
    <w:rsid w:val="561B14C6"/>
    <w:rsid w:val="561B7A15"/>
    <w:rsid w:val="56247722"/>
    <w:rsid w:val="56342FDD"/>
    <w:rsid w:val="56467B64"/>
    <w:rsid w:val="565626F9"/>
    <w:rsid w:val="565671A2"/>
    <w:rsid w:val="56685CA8"/>
    <w:rsid w:val="56740DC7"/>
    <w:rsid w:val="56753961"/>
    <w:rsid w:val="5677558B"/>
    <w:rsid w:val="569C2904"/>
    <w:rsid w:val="56AA3219"/>
    <w:rsid w:val="56CF2574"/>
    <w:rsid w:val="56CF424D"/>
    <w:rsid w:val="56DE4C00"/>
    <w:rsid w:val="570847EE"/>
    <w:rsid w:val="573270B5"/>
    <w:rsid w:val="57331689"/>
    <w:rsid w:val="57443B56"/>
    <w:rsid w:val="57614844"/>
    <w:rsid w:val="57664CC0"/>
    <w:rsid w:val="576A00D2"/>
    <w:rsid w:val="576A530D"/>
    <w:rsid w:val="57971A40"/>
    <w:rsid w:val="579E4D2D"/>
    <w:rsid w:val="57A24175"/>
    <w:rsid w:val="57B75717"/>
    <w:rsid w:val="57C470D2"/>
    <w:rsid w:val="57C77E19"/>
    <w:rsid w:val="57CA488B"/>
    <w:rsid w:val="57DB3900"/>
    <w:rsid w:val="57DB47FB"/>
    <w:rsid w:val="580846BB"/>
    <w:rsid w:val="5816050F"/>
    <w:rsid w:val="581D5CC6"/>
    <w:rsid w:val="58205F1A"/>
    <w:rsid w:val="582468CD"/>
    <w:rsid w:val="582840C5"/>
    <w:rsid w:val="583074F9"/>
    <w:rsid w:val="583515AC"/>
    <w:rsid w:val="584B45E2"/>
    <w:rsid w:val="584C2587"/>
    <w:rsid w:val="585127AA"/>
    <w:rsid w:val="585D5314"/>
    <w:rsid w:val="58603D47"/>
    <w:rsid w:val="58743A0C"/>
    <w:rsid w:val="58BB3CCE"/>
    <w:rsid w:val="58CD3249"/>
    <w:rsid w:val="58DE0E81"/>
    <w:rsid w:val="59125866"/>
    <w:rsid w:val="5915352F"/>
    <w:rsid w:val="591B0458"/>
    <w:rsid w:val="59232E69"/>
    <w:rsid w:val="59304651"/>
    <w:rsid w:val="593E2965"/>
    <w:rsid w:val="594856C1"/>
    <w:rsid w:val="59486EBB"/>
    <w:rsid w:val="59493AFE"/>
    <w:rsid w:val="594C38F9"/>
    <w:rsid w:val="594C4A1E"/>
    <w:rsid w:val="59567838"/>
    <w:rsid w:val="59700D18"/>
    <w:rsid w:val="5970491E"/>
    <w:rsid w:val="597304CA"/>
    <w:rsid w:val="59794C92"/>
    <w:rsid w:val="597A0373"/>
    <w:rsid w:val="598803B1"/>
    <w:rsid w:val="59A5117A"/>
    <w:rsid w:val="59A937D5"/>
    <w:rsid w:val="59BA6CB3"/>
    <w:rsid w:val="59BA6CC4"/>
    <w:rsid w:val="59DB746A"/>
    <w:rsid w:val="59F2154E"/>
    <w:rsid w:val="59F9691A"/>
    <w:rsid w:val="5A012975"/>
    <w:rsid w:val="5A0233C6"/>
    <w:rsid w:val="5A097A39"/>
    <w:rsid w:val="5A112448"/>
    <w:rsid w:val="5A1E417A"/>
    <w:rsid w:val="5A266C4C"/>
    <w:rsid w:val="5A2D3B53"/>
    <w:rsid w:val="5A3B2434"/>
    <w:rsid w:val="5A6457FD"/>
    <w:rsid w:val="5A645A7F"/>
    <w:rsid w:val="5A653116"/>
    <w:rsid w:val="5A7035CD"/>
    <w:rsid w:val="5A873ECB"/>
    <w:rsid w:val="5A934A0F"/>
    <w:rsid w:val="5A957C98"/>
    <w:rsid w:val="5A9E6D6F"/>
    <w:rsid w:val="5AAC50E0"/>
    <w:rsid w:val="5AAD60EA"/>
    <w:rsid w:val="5AB61DE0"/>
    <w:rsid w:val="5ACB527F"/>
    <w:rsid w:val="5AD7761B"/>
    <w:rsid w:val="5B072DB6"/>
    <w:rsid w:val="5B19492B"/>
    <w:rsid w:val="5B233465"/>
    <w:rsid w:val="5B506B61"/>
    <w:rsid w:val="5B5F0F2E"/>
    <w:rsid w:val="5B667984"/>
    <w:rsid w:val="5B6B796C"/>
    <w:rsid w:val="5B7C0F56"/>
    <w:rsid w:val="5B9808C1"/>
    <w:rsid w:val="5BB10CB2"/>
    <w:rsid w:val="5BC16A09"/>
    <w:rsid w:val="5C012CC6"/>
    <w:rsid w:val="5C3B496D"/>
    <w:rsid w:val="5C503DE0"/>
    <w:rsid w:val="5C5435D1"/>
    <w:rsid w:val="5C5C5BA5"/>
    <w:rsid w:val="5C8005D2"/>
    <w:rsid w:val="5C8C4702"/>
    <w:rsid w:val="5C936557"/>
    <w:rsid w:val="5C943DBC"/>
    <w:rsid w:val="5C997625"/>
    <w:rsid w:val="5CA57080"/>
    <w:rsid w:val="5CA77E21"/>
    <w:rsid w:val="5CAF0BE0"/>
    <w:rsid w:val="5CB458BA"/>
    <w:rsid w:val="5CDC782C"/>
    <w:rsid w:val="5CE23DAC"/>
    <w:rsid w:val="5CE73917"/>
    <w:rsid w:val="5D0A73AF"/>
    <w:rsid w:val="5D120F26"/>
    <w:rsid w:val="5D1F603D"/>
    <w:rsid w:val="5D376039"/>
    <w:rsid w:val="5D3E31E9"/>
    <w:rsid w:val="5D436E42"/>
    <w:rsid w:val="5D63667B"/>
    <w:rsid w:val="5D6F2EDA"/>
    <w:rsid w:val="5D783847"/>
    <w:rsid w:val="5D83037A"/>
    <w:rsid w:val="5D9941C1"/>
    <w:rsid w:val="5DA92832"/>
    <w:rsid w:val="5DAE502B"/>
    <w:rsid w:val="5DB466F3"/>
    <w:rsid w:val="5DB915F2"/>
    <w:rsid w:val="5DBC60F3"/>
    <w:rsid w:val="5DCB1D21"/>
    <w:rsid w:val="5DCD5A99"/>
    <w:rsid w:val="5DDA5440"/>
    <w:rsid w:val="5DDD5947"/>
    <w:rsid w:val="5DDF393D"/>
    <w:rsid w:val="5DDF6E4E"/>
    <w:rsid w:val="5DFA49E0"/>
    <w:rsid w:val="5E1D0F80"/>
    <w:rsid w:val="5E1F3B6D"/>
    <w:rsid w:val="5E224037"/>
    <w:rsid w:val="5E352C38"/>
    <w:rsid w:val="5E3E40FF"/>
    <w:rsid w:val="5E40706E"/>
    <w:rsid w:val="5E4C1080"/>
    <w:rsid w:val="5E4E1C8A"/>
    <w:rsid w:val="5E5D7A78"/>
    <w:rsid w:val="5E7833A1"/>
    <w:rsid w:val="5E8274BA"/>
    <w:rsid w:val="5EA06D09"/>
    <w:rsid w:val="5EA53C9A"/>
    <w:rsid w:val="5EB822A5"/>
    <w:rsid w:val="5EBC7F37"/>
    <w:rsid w:val="5ECE7D1A"/>
    <w:rsid w:val="5ED36C86"/>
    <w:rsid w:val="5EDA60B0"/>
    <w:rsid w:val="5EE35A57"/>
    <w:rsid w:val="5F1645A7"/>
    <w:rsid w:val="5F6A54DD"/>
    <w:rsid w:val="5F815969"/>
    <w:rsid w:val="5F8B4FA7"/>
    <w:rsid w:val="5F9B72D1"/>
    <w:rsid w:val="5FAB0A44"/>
    <w:rsid w:val="5FB17C29"/>
    <w:rsid w:val="5FB34738"/>
    <w:rsid w:val="5FB95E1C"/>
    <w:rsid w:val="5FC85F82"/>
    <w:rsid w:val="5FCB3FE5"/>
    <w:rsid w:val="5FDC5EDE"/>
    <w:rsid w:val="5FEB2206"/>
    <w:rsid w:val="5FED772C"/>
    <w:rsid w:val="5FF97EAE"/>
    <w:rsid w:val="60155C27"/>
    <w:rsid w:val="60162D11"/>
    <w:rsid w:val="601A6070"/>
    <w:rsid w:val="60226F8B"/>
    <w:rsid w:val="603B4F3C"/>
    <w:rsid w:val="60477ABF"/>
    <w:rsid w:val="604B06AE"/>
    <w:rsid w:val="60526566"/>
    <w:rsid w:val="607F756F"/>
    <w:rsid w:val="60917251"/>
    <w:rsid w:val="60982996"/>
    <w:rsid w:val="60C53D01"/>
    <w:rsid w:val="60C9018D"/>
    <w:rsid w:val="60F90953"/>
    <w:rsid w:val="61012C93"/>
    <w:rsid w:val="61053FC5"/>
    <w:rsid w:val="610C088E"/>
    <w:rsid w:val="614A03E6"/>
    <w:rsid w:val="61531A50"/>
    <w:rsid w:val="61532201"/>
    <w:rsid w:val="61651210"/>
    <w:rsid w:val="61666018"/>
    <w:rsid w:val="616B46BB"/>
    <w:rsid w:val="616E5EB6"/>
    <w:rsid w:val="617526CF"/>
    <w:rsid w:val="618560EB"/>
    <w:rsid w:val="618E3791"/>
    <w:rsid w:val="619B5D77"/>
    <w:rsid w:val="61B10243"/>
    <w:rsid w:val="61BB2DD9"/>
    <w:rsid w:val="61C00B2F"/>
    <w:rsid w:val="61C3411F"/>
    <w:rsid w:val="61DD1B9A"/>
    <w:rsid w:val="61E136F6"/>
    <w:rsid w:val="61F4426B"/>
    <w:rsid w:val="61F83805"/>
    <w:rsid w:val="62022776"/>
    <w:rsid w:val="6205764C"/>
    <w:rsid w:val="62256C85"/>
    <w:rsid w:val="623600B0"/>
    <w:rsid w:val="62562501"/>
    <w:rsid w:val="6256299E"/>
    <w:rsid w:val="62574D95"/>
    <w:rsid w:val="62586747"/>
    <w:rsid w:val="626C60B7"/>
    <w:rsid w:val="62746498"/>
    <w:rsid w:val="62922E0D"/>
    <w:rsid w:val="62982A5C"/>
    <w:rsid w:val="62CB6D60"/>
    <w:rsid w:val="62E358B2"/>
    <w:rsid w:val="62EA49F7"/>
    <w:rsid w:val="62F154C5"/>
    <w:rsid w:val="62FD0A5D"/>
    <w:rsid w:val="63162338"/>
    <w:rsid w:val="632036E4"/>
    <w:rsid w:val="63232EB3"/>
    <w:rsid w:val="63267478"/>
    <w:rsid w:val="633D315E"/>
    <w:rsid w:val="63504ABF"/>
    <w:rsid w:val="63517786"/>
    <w:rsid w:val="637052D7"/>
    <w:rsid w:val="6388739F"/>
    <w:rsid w:val="6389099E"/>
    <w:rsid w:val="63954DAA"/>
    <w:rsid w:val="63C74AA3"/>
    <w:rsid w:val="63D87748"/>
    <w:rsid w:val="63DE2EEF"/>
    <w:rsid w:val="63E8362C"/>
    <w:rsid w:val="63F16145"/>
    <w:rsid w:val="64024CFF"/>
    <w:rsid w:val="641D22DD"/>
    <w:rsid w:val="64426DE8"/>
    <w:rsid w:val="645B3151"/>
    <w:rsid w:val="646A170C"/>
    <w:rsid w:val="64701038"/>
    <w:rsid w:val="64722EF6"/>
    <w:rsid w:val="64797A3F"/>
    <w:rsid w:val="647B4B09"/>
    <w:rsid w:val="647B6F79"/>
    <w:rsid w:val="64815AEE"/>
    <w:rsid w:val="648937A8"/>
    <w:rsid w:val="648B1BA9"/>
    <w:rsid w:val="648D0F64"/>
    <w:rsid w:val="649449E8"/>
    <w:rsid w:val="649D5D6D"/>
    <w:rsid w:val="64A9391A"/>
    <w:rsid w:val="64AF7CA6"/>
    <w:rsid w:val="64D77B16"/>
    <w:rsid w:val="64F953C5"/>
    <w:rsid w:val="651B533C"/>
    <w:rsid w:val="651E27DC"/>
    <w:rsid w:val="65206DF6"/>
    <w:rsid w:val="65291D8F"/>
    <w:rsid w:val="65570D94"/>
    <w:rsid w:val="655774EE"/>
    <w:rsid w:val="65795592"/>
    <w:rsid w:val="65A10F4D"/>
    <w:rsid w:val="65A93335"/>
    <w:rsid w:val="65B765E2"/>
    <w:rsid w:val="65BC5BDE"/>
    <w:rsid w:val="65D3678B"/>
    <w:rsid w:val="65DB69B9"/>
    <w:rsid w:val="65E142CF"/>
    <w:rsid w:val="65F16DEF"/>
    <w:rsid w:val="65FF5B93"/>
    <w:rsid w:val="660540EE"/>
    <w:rsid w:val="66081715"/>
    <w:rsid w:val="661673E0"/>
    <w:rsid w:val="661A1A97"/>
    <w:rsid w:val="661A3845"/>
    <w:rsid w:val="661B00EA"/>
    <w:rsid w:val="661D360B"/>
    <w:rsid w:val="66523C3F"/>
    <w:rsid w:val="66541F53"/>
    <w:rsid w:val="665C126F"/>
    <w:rsid w:val="6660647F"/>
    <w:rsid w:val="66613222"/>
    <w:rsid w:val="66820F47"/>
    <w:rsid w:val="668A782A"/>
    <w:rsid w:val="66AF1795"/>
    <w:rsid w:val="66B07CC1"/>
    <w:rsid w:val="66B14B24"/>
    <w:rsid w:val="66B27D18"/>
    <w:rsid w:val="66D1442C"/>
    <w:rsid w:val="66D47E7F"/>
    <w:rsid w:val="66D64E5B"/>
    <w:rsid w:val="66DD089D"/>
    <w:rsid w:val="66F0016C"/>
    <w:rsid w:val="66FA0812"/>
    <w:rsid w:val="66FB2BD0"/>
    <w:rsid w:val="66FC2971"/>
    <w:rsid w:val="670008EB"/>
    <w:rsid w:val="67103ED9"/>
    <w:rsid w:val="67262B05"/>
    <w:rsid w:val="672C7CD4"/>
    <w:rsid w:val="674E513F"/>
    <w:rsid w:val="674E6BDA"/>
    <w:rsid w:val="67610E75"/>
    <w:rsid w:val="676F0F89"/>
    <w:rsid w:val="677178CC"/>
    <w:rsid w:val="677977BA"/>
    <w:rsid w:val="67797A29"/>
    <w:rsid w:val="679D31F9"/>
    <w:rsid w:val="679D3BF4"/>
    <w:rsid w:val="679D472E"/>
    <w:rsid w:val="67A41618"/>
    <w:rsid w:val="67AE4749"/>
    <w:rsid w:val="67C56A11"/>
    <w:rsid w:val="67DC3A63"/>
    <w:rsid w:val="67E071EA"/>
    <w:rsid w:val="67FC4971"/>
    <w:rsid w:val="68221BAF"/>
    <w:rsid w:val="682D62D9"/>
    <w:rsid w:val="685143BC"/>
    <w:rsid w:val="68542A0A"/>
    <w:rsid w:val="68555296"/>
    <w:rsid w:val="686C1E80"/>
    <w:rsid w:val="68816836"/>
    <w:rsid w:val="689079C3"/>
    <w:rsid w:val="689A2A1B"/>
    <w:rsid w:val="68D46A71"/>
    <w:rsid w:val="68D56910"/>
    <w:rsid w:val="68EF70C5"/>
    <w:rsid w:val="68F22D9F"/>
    <w:rsid w:val="69162C86"/>
    <w:rsid w:val="69180AD7"/>
    <w:rsid w:val="69214083"/>
    <w:rsid w:val="69456B9A"/>
    <w:rsid w:val="69481344"/>
    <w:rsid w:val="695700E3"/>
    <w:rsid w:val="6980516E"/>
    <w:rsid w:val="698B51FD"/>
    <w:rsid w:val="69960468"/>
    <w:rsid w:val="69A109AD"/>
    <w:rsid w:val="69B875FD"/>
    <w:rsid w:val="69D5796F"/>
    <w:rsid w:val="69E00AE8"/>
    <w:rsid w:val="69E2467A"/>
    <w:rsid w:val="69F101EA"/>
    <w:rsid w:val="69F448E4"/>
    <w:rsid w:val="6A0606AA"/>
    <w:rsid w:val="6A090874"/>
    <w:rsid w:val="6A0F6D29"/>
    <w:rsid w:val="6A1231B1"/>
    <w:rsid w:val="6A1B780C"/>
    <w:rsid w:val="6A206086"/>
    <w:rsid w:val="6A3F0B90"/>
    <w:rsid w:val="6A3F71AB"/>
    <w:rsid w:val="6A407F9F"/>
    <w:rsid w:val="6A4620BF"/>
    <w:rsid w:val="6A4D5F32"/>
    <w:rsid w:val="6A5D65D9"/>
    <w:rsid w:val="6A6908F7"/>
    <w:rsid w:val="6A722F0B"/>
    <w:rsid w:val="6A7A4D5B"/>
    <w:rsid w:val="6A7E7518"/>
    <w:rsid w:val="6A825953"/>
    <w:rsid w:val="6A881C38"/>
    <w:rsid w:val="6A8A11E6"/>
    <w:rsid w:val="6A8B2F63"/>
    <w:rsid w:val="6A9C6F1F"/>
    <w:rsid w:val="6AC034F3"/>
    <w:rsid w:val="6AC96987"/>
    <w:rsid w:val="6AD24017"/>
    <w:rsid w:val="6AD42C61"/>
    <w:rsid w:val="6AE14092"/>
    <w:rsid w:val="6AEA323D"/>
    <w:rsid w:val="6AF07997"/>
    <w:rsid w:val="6AF5032D"/>
    <w:rsid w:val="6AFB2812"/>
    <w:rsid w:val="6AFF182D"/>
    <w:rsid w:val="6B032C8C"/>
    <w:rsid w:val="6B243303"/>
    <w:rsid w:val="6B3569BE"/>
    <w:rsid w:val="6B3A1CE8"/>
    <w:rsid w:val="6B3E4E41"/>
    <w:rsid w:val="6B4D49EF"/>
    <w:rsid w:val="6B556078"/>
    <w:rsid w:val="6B565CD0"/>
    <w:rsid w:val="6B68013D"/>
    <w:rsid w:val="6B7022D0"/>
    <w:rsid w:val="6B7B5422"/>
    <w:rsid w:val="6B852192"/>
    <w:rsid w:val="6B925A32"/>
    <w:rsid w:val="6B9C4F5E"/>
    <w:rsid w:val="6BA92B5A"/>
    <w:rsid w:val="6BB42760"/>
    <w:rsid w:val="6BD37065"/>
    <w:rsid w:val="6BE13B5E"/>
    <w:rsid w:val="6BE31674"/>
    <w:rsid w:val="6BE95EA9"/>
    <w:rsid w:val="6BEA6094"/>
    <w:rsid w:val="6C114575"/>
    <w:rsid w:val="6C2A7712"/>
    <w:rsid w:val="6C3E2214"/>
    <w:rsid w:val="6C427652"/>
    <w:rsid w:val="6C4D48CD"/>
    <w:rsid w:val="6C8202CD"/>
    <w:rsid w:val="6C8639E2"/>
    <w:rsid w:val="6C961621"/>
    <w:rsid w:val="6C9D5038"/>
    <w:rsid w:val="6CBB7DE1"/>
    <w:rsid w:val="6CC445CB"/>
    <w:rsid w:val="6CD042ED"/>
    <w:rsid w:val="6CDA2357"/>
    <w:rsid w:val="6CE8212C"/>
    <w:rsid w:val="6CF01775"/>
    <w:rsid w:val="6CFB62C0"/>
    <w:rsid w:val="6CFD7CAA"/>
    <w:rsid w:val="6D026DE8"/>
    <w:rsid w:val="6D0316B2"/>
    <w:rsid w:val="6D087337"/>
    <w:rsid w:val="6D0E1321"/>
    <w:rsid w:val="6D104BE0"/>
    <w:rsid w:val="6D132371"/>
    <w:rsid w:val="6D1338DD"/>
    <w:rsid w:val="6D153789"/>
    <w:rsid w:val="6D3B4D97"/>
    <w:rsid w:val="6D487B73"/>
    <w:rsid w:val="6D4A2408"/>
    <w:rsid w:val="6D4B1E5A"/>
    <w:rsid w:val="6D5E70E9"/>
    <w:rsid w:val="6D6729D8"/>
    <w:rsid w:val="6D6E09F2"/>
    <w:rsid w:val="6D852386"/>
    <w:rsid w:val="6DBD67AE"/>
    <w:rsid w:val="6DBE7893"/>
    <w:rsid w:val="6DCF3167"/>
    <w:rsid w:val="6DD54C21"/>
    <w:rsid w:val="6DF453C2"/>
    <w:rsid w:val="6DFC1EB9"/>
    <w:rsid w:val="6E25722B"/>
    <w:rsid w:val="6E3363CE"/>
    <w:rsid w:val="6E3C316F"/>
    <w:rsid w:val="6E453429"/>
    <w:rsid w:val="6E456275"/>
    <w:rsid w:val="6E4E36BD"/>
    <w:rsid w:val="6E6127F4"/>
    <w:rsid w:val="6E631ECC"/>
    <w:rsid w:val="6E860D5E"/>
    <w:rsid w:val="6E880670"/>
    <w:rsid w:val="6E9028F6"/>
    <w:rsid w:val="6EB7522E"/>
    <w:rsid w:val="6EC002E5"/>
    <w:rsid w:val="6EC64ECD"/>
    <w:rsid w:val="6EC71F62"/>
    <w:rsid w:val="6ECD2CED"/>
    <w:rsid w:val="6EE1422E"/>
    <w:rsid w:val="6EE449F0"/>
    <w:rsid w:val="6EF14DB2"/>
    <w:rsid w:val="6EFA06B8"/>
    <w:rsid w:val="6F046E40"/>
    <w:rsid w:val="6F1743AC"/>
    <w:rsid w:val="6F3E2352"/>
    <w:rsid w:val="6F4656AB"/>
    <w:rsid w:val="6F5C1867"/>
    <w:rsid w:val="6F5C3F48"/>
    <w:rsid w:val="6F61462B"/>
    <w:rsid w:val="6F6D6714"/>
    <w:rsid w:val="6F8561D3"/>
    <w:rsid w:val="6F926B42"/>
    <w:rsid w:val="6F9C2017"/>
    <w:rsid w:val="6FB37BE5"/>
    <w:rsid w:val="6FC2450B"/>
    <w:rsid w:val="6FC7059A"/>
    <w:rsid w:val="6FCA64CD"/>
    <w:rsid w:val="6FE112C4"/>
    <w:rsid w:val="6FF069FB"/>
    <w:rsid w:val="6FF36A80"/>
    <w:rsid w:val="6FFB0619"/>
    <w:rsid w:val="6FFD7D02"/>
    <w:rsid w:val="70020E6A"/>
    <w:rsid w:val="701A60AC"/>
    <w:rsid w:val="702149D3"/>
    <w:rsid w:val="7021684B"/>
    <w:rsid w:val="70217D0F"/>
    <w:rsid w:val="7045295A"/>
    <w:rsid w:val="7047527A"/>
    <w:rsid w:val="704E0CBB"/>
    <w:rsid w:val="7056241A"/>
    <w:rsid w:val="707B2CB1"/>
    <w:rsid w:val="70924B19"/>
    <w:rsid w:val="70952588"/>
    <w:rsid w:val="70A34833"/>
    <w:rsid w:val="70B75478"/>
    <w:rsid w:val="70BA7DE6"/>
    <w:rsid w:val="70BF74C3"/>
    <w:rsid w:val="70D56048"/>
    <w:rsid w:val="70DA3248"/>
    <w:rsid w:val="71027F8C"/>
    <w:rsid w:val="712A4901"/>
    <w:rsid w:val="71391F94"/>
    <w:rsid w:val="7148395C"/>
    <w:rsid w:val="715D7335"/>
    <w:rsid w:val="717159EA"/>
    <w:rsid w:val="71777F8A"/>
    <w:rsid w:val="719340CC"/>
    <w:rsid w:val="71946BA2"/>
    <w:rsid w:val="719B2CE3"/>
    <w:rsid w:val="71A412EF"/>
    <w:rsid w:val="71B106B0"/>
    <w:rsid w:val="71B61A42"/>
    <w:rsid w:val="71BB267E"/>
    <w:rsid w:val="71BE59CD"/>
    <w:rsid w:val="71C32243"/>
    <w:rsid w:val="71D94178"/>
    <w:rsid w:val="71E258E0"/>
    <w:rsid w:val="71E450CA"/>
    <w:rsid w:val="71EA7F5E"/>
    <w:rsid w:val="71EE0EE5"/>
    <w:rsid w:val="71F773F9"/>
    <w:rsid w:val="71FB452B"/>
    <w:rsid w:val="72025ED5"/>
    <w:rsid w:val="720A7322"/>
    <w:rsid w:val="72137E38"/>
    <w:rsid w:val="721E571E"/>
    <w:rsid w:val="721F7D69"/>
    <w:rsid w:val="7225336C"/>
    <w:rsid w:val="722E3E35"/>
    <w:rsid w:val="724A7260"/>
    <w:rsid w:val="724B68D9"/>
    <w:rsid w:val="72541E8D"/>
    <w:rsid w:val="725E62FA"/>
    <w:rsid w:val="72860473"/>
    <w:rsid w:val="7299364D"/>
    <w:rsid w:val="72C16C93"/>
    <w:rsid w:val="72D66A82"/>
    <w:rsid w:val="72D67597"/>
    <w:rsid w:val="72E43D31"/>
    <w:rsid w:val="72EA02AA"/>
    <w:rsid w:val="72FF6E9B"/>
    <w:rsid w:val="73027148"/>
    <w:rsid w:val="7305147C"/>
    <w:rsid w:val="731A30F8"/>
    <w:rsid w:val="733A7EE8"/>
    <w:rsid w:val="734D11ED"/>
    <w:rsid w:val="735A55D3"/>
    <w:rsid w:val="73621B80"/>
    <w:rsid w:val="7375174D"/>
    <w:rsid w:val="73795D83"/>
    <w:rsid w:val="737B6EF7"/>
    <w:rsid w:val="73850D73"/>
    <w:rsid w:val="738B56FD"/>
    <w:rsid w:val="738B5D82"/>
    <w:rsid w:val="73993FFB"/>
    <w:rsid w:val="739F2E93"/>
    <w:rsid w:val="73A60FE9"/>
    <w:rsid w:val="73B8143C"/>
    <w:rsid w:val="73C06788"/>
    <w:rsid w:val="73D813D5"/>
    <w:rsid w:val="73DB1F8F"/>
    <w:rsid w:val="73DE1B70"/>
    <w:rsid w:val="73E6120B"/>
    <w:rsid w:val="741378E4"/>
    <w:rsid w:val="74213FF1"/>
    <w:rsid w:val="743138C9"/>
    <w:rsid w:val="74346455"/>
    <w:rsid w:val="74497E8D"/>
    <w:rsid w:val="744F70D5"/>
    <w:rsid w:val="74542618"/>
    <w:rsid w:val="746B1062"/>
    <w:rsid w:val="74836A59"/>
    <w:rsid w:val="74890514"/>
    <w:rsid w:val="74957A1D"/>
    <w:rsid w:val="74976F8C"/>
    <w:rsid w:val="749C28D6"/>
    <w:rsid w:val="74AC2DBE"/>
    <w:rsid w:val="74B03CF2"/>
    <w:rsid w:val="74B4279D"/>
    <w:rsid w:val="74C959EF"/>
    <w:rsid w:val="74D13C69"/>
    <w:rsid w:val="74D226D8"/>
    <w:rsid w:val="74D951DD"/>
    <w:rsid w:val="74E36253"/>
    <w:rsid w:val="74F273DA"/>
    <w:rsid w:val="74F600B5"/>
    <w:rsid w:val="750C6A4F"/>
    <w:rsid w:val="75102AF5"/>
    <w:rsid w:val="751C1B98"/>
    <w:rsid w:val="752E2E69"/>
    <w:rsid w:val="753F1C14"/>
    <w:rsid w:val="75404D65"/>
    <w:rsid w:val="75410DEE"/>
    <w:rsid w:val="754B45FC"/>
    <w:rsid w:val="754C4FE3"/>
    <w:rsid w:val="75780005"/>
    <w:rsid w:val="75846F2D"/>
    <w:rsid w:val="758E56B6"/>
    <w:rsid w:val="759D26FD"/>
    <w:rsid w:val="75BA7DC9"/>
    <w:rsid w:val="75C158E1"/>
    <w:rsid w:val="75D75BBF"/>
    <w:rsid w:val="75F25C45"/>
    <w:rsid w:val="75F8173D"/>
    <w:rsid w:val="75FE15A4"/>
    <w:rsid w:val="76087EFE"/>
    <w:rsid w:val="762F3987"/>
    <w:rsid w:val="763146BA"/>
    <w:rsid w:val="76373F9F"/>
    <w:rsid w:val="763C17CD"/>
    <w:rsid w:val="7651209F"/>
    <w:rsid w:val="765A396A"/>
    <w:rsid w:val="765B5EE0"/>
    <w:rsid w:val="76625186"/>
    <w:rsid w:val="76694515"/>
    <w:rsid w:val="7671183A"/>
    <w:rsid w:val="76795A9A"/>
    <w:rsid w:val="76850BE3"/>
    <w:rsid w:val="768E7AAD"/>
    <w:rsid w:val="769D37DC"/>
    <w:rsid w:val="76AD1FDF"/>
    <w:rsid w:val="76AF483A"/>
    <w:rsid w:val="76C37C6F"/>
    <w:rsid w:val="76C61386"/>
    <w:rsid w:val="76CF1D13"/>
    <w:rsid w:val="76D56664"/>
    <w:rsid w:val="76E81AE6"/>
    <w:rsid w:val="76FD0D45"/>
    <w:rsid w:val="77000835"/>
    <w:rsid w:val="770802F0"/>
    <w:rsid w:val="771025D4"/>
    <w:rsid w:val="77115FC5"/>
    <w:rsid w:val="77196438"/>
    <w:rsid w:val="77326AF1"/>
    <w:rsid w:val="77342D6F"/>
    <w:rsid w:val="77383B2B"/>
    <w:rsid w:val="773B467C"/>
    <w:rsid w:val="775B5775"/>
    <w:rsid w:val="775E0D1F"/>
    <w:rsid w:val="776655B0"/>
    <w:rsid w:val="77685B26"/>
    <w:rsid w:val="777B5097"/>
    <w:rsid w:val="777E55F4"/>
    <w:rsid w:val="777F79AC"/>
    <w:rsid w:val="77820DEB"/>
    <w:rsid w:val="7792671F"/>
    <w:rsid w:val="7797445D"/>
    <w:rsid w:val="77986D62"/>
    <w:rsid w:val="77A015C8"/>
    <w:rsid w:val="77A92E90"/>
    <w:rsid w:val="77B650A0"/>
    <w:rsid w:val="77CE0481"/>
    <w:rsid w:val="77E43CB3"/>
    <w:rsid w:val="77EC7456"/>
    <w:rsid w:val="77EE7D89"/>
    <w:rsid w:val="77EF0483"/>
    <w:rsid w:val="78131205"/>
    <w:rsid w:val="781911C5"/>
    <w:rsid w:val="781A279F"/>
    <w:rsid w:val="782500E0"/>
    <w:rsid w:val="782F5811"/>
    <w:rsid w:val="78384A59"/>
    <w:rsid w:val="783B343E"/>
    <w:rsid w:val="78491B75"/>
    <w:rsid w:val="784A2663"/>
    <w:rsid w:val="784A43B3"/>
    <w:rsid w:val="78511348"/>
    <w:rsid w:val="785250C1"/>
    <w:rsid w:val="78564BB1"/>
    <w:rsid w:val="78581051"/>
    <w:rsid w:val="786228CD"/>
    <w:rsid w:val="786F0FB8"/>
    <w:rsid w:val="78714DF4"/>
    <w:rsid w:val="78721CEF"/>
    <w:rsid w:val="787234C6"/>
    <w:rsid w:val="78756296"/>
    <w:rsid w:val="788334CC"/>
    <w:rsid w:val="78B20233"/>
    <w:rsid w:val="78D12FAA"/>
    <w:rsid w:val="78D855C6"/>
    <w:rsid w:val="78FC0536"/>
    <w:rsid w:val="78FE7954"/>
    <w:rsid w:val="79315979"/>
    <w:rsid w:val="79424F4F"/>
    <w:rsid w:val="795831E5"/>
    <w:rsid w:val="796E7E54"/>
    <w:rsid w:val="79756315"/>
    <w:rsid w:val="79765CDA"/>
    <w:rsid w:val="798B6ADC"/>
    <w:rsid w:val="79971D97"/>
    <w:rsid w:val="79A47621"/>
    <w:rsid w:val="79AA18D2"/>
    <w:rsid w:val="79AB6836"/>
    <w:rsid w:val="79C56A19"/>
    <w:rsid w:val="79D957CA"/>
    <w:rsid w:val="79DA621C"/>
    <w:rsid w:val="79ED729C"/>
    <w:rsid w:val="7A0A78E3"/>
    <w:rsid w:val="7A2465E9"/>
    <w:rsid w:val="7A364577"/>
    <w:rsid w:val="7A3A3304"/>
    <w:rsid w:val="7A54735F"/>
    <w:rsid w:val="7A5A319C"/>
    <w:rsid w:val="7A5B64AE"/>
    <w:rsid w:val="7A5C5D83"/>
    <w:rsid w:val="7A681FA7"/>
    <w:rsid w:val="7A6963D8"/>
    <w:rsid w:val="7A8D6E37"/>
    <w:rsid w:val="7AA21823"/>
    <w:rsid w:val="7AA7070E"/>
    <w:rsid w:val="7AA900DE"/>
    <w:rsid w:val="7AA936C9"/>
    <w:rsid w:val="7AB12D4C"/>
    <w:rsid w:val="7AD37F76"/>
    <w:rsid w:val="7AF32BF3"/>
    <w:rsid w:val="7AF771AA"/>
    <w:rsid w:val="7B063D79"/>
    <w:rsid w:val="7B095F0A"/>
    <w:rsid w:val="7B116B6D"/>
    <w:rsid w:val="7B190BA4"/>
    <w:rsid w:val="7B334D35"/>
    <w:rsid w:val="7B36137C"/>
    <w:rsid w:val="7B3A2568"/>
    <w:rsid w:val="7B51165F"/>
    <w:rsid w:val="7B6F5B5B"/>
    <w:rsid w:val="7B7415FA"/>
    <w:rsid w:val="7B765886"/>
    <w:rsid w:val="7B7C4D25"/>
    <w:rsid w:val="7B893C25"/>
    <w:rsid w:val="7B8B5C40"/>
    <w:rsid w:val="7B90640C"/>
    <w:rsid w:val="7B922E29"/>
    <w:rsid w:val="7BAB0D70"/>
    <w:rsid w:val="7BBC11CF"/>
    <w:rsid w:val="7BBF79A8"/>
    <w:rsid w:val="7BC24F1F"/>
    <w:rsid w:val="7BE129E3"/>
    <w:rsid w:val="7BE23EB3"/>
    <w:rsid w:val="7BE91898"/>
    <w:rsid w:val="7BF72207"/>
    <w:rsid w:val="7C161B08"/>
    <w:rsid w:val="7C3A2FA7"/>
    <w:rsid w:val="7C541407"/>
    <w:rsid w:val="7C5840BF"/>
    <w:rsid w:val="7C6D071B"/>
    <w:rsid w:val="7C84107F"/>
    <w:rsid w:val="7C9909ED"/>
    <w:rsid w:val="7C9C2291"/>
    <w:rsid w:val="7CA46921"/>
    <w:rsid w:val="7CA56991"/>
    <w:rsid w:val="7CA71E0B"/>
    <w:rsid w:val="7CB85E09"/>
    <w:rsid w:val="7CFE3A42"/>
    <w:rsid w:val="7CFF1519"/>
    <w:rsid w:val="7D013878"/>
    <w:rsid w:val="7D0F508E"/>
    <w:rsid w:val="7D17450A"/>
    <w:rsid w:val="7D1943FF"/>
    <w:rsid w:val="7D2557AC"/>
    <w:rsid w:val="7D3F099E"/>
    <w:rsid w:val="7D4B01E2"/>
    <w:rsid w:val="7D533A52"/>
    <w:rsid w:val="7D5B43D0"/>
    <w:rsid w:val="7D6243C6"/>
    <w:rsid w:val="7D76523E"/>
    <w:rsid w:val="7D781E69"/>
    <w:rsid w:val="7D7B5075"/>
    <w:rsid w:val="7D832173"/>
    <w:rsid w:val="7D8A3C14"/>
    <w:rsid w:val="7D8C5B06"/>
    <w:rsid w:val="7D934401"/>
    <w:rsid w:val="7D953960"/>
    <w:rsid w:val="7D961406"/>
    <w:rsid w:val="7DA56991"/>
    <w:rsid w:val="7DA623C2"/>
    <w:rsid w:val="7DA737B9"/>
    <w:rsid w:val="7DB639FC"/>
    <w:rsid w:val="7DFF0E02"/>
    <w:rsid w:val="7E070C8C"/>
    <w:rsid w:val="7E0800A0"/>
    <w:rsid w:val="7E0C521E"/>
    <w:rsid w:val="7E0E7E19"/>
    <w:rsid w:val="7E1840CC"/>
    <w:rsid w:val="7E1964D0"/>
    <w:rsid w:val="7E303249"/>
    <w:rsid w:val="7E525E1A"/>
    <w:rsid w:val="7E555123"/>
    <w:rsid w:val="7E557656"/>
    <w:rsid w:val="7E7538B7"/>
    <w:rsid w:val="7E841CD2"/>
    <w:rsid w:val="7E844BCE"/>
    <w:rsid w:val="7E8D660B"/>
    <w:rsid w:val="7E9433D2"/>
    <w:rsid w:val="7E992085"/>
    <w:rsid w:val="7EB47F46"/>
    <w:rsid w:val="7EB94600"/>
    <w:rsid w:val="7EC83B65"/>
    <w:rsid w:val="7ECF7C45"/>
    <w:rsid w:val="7ED82860"/>
    <w:rsid w:val="7EF45DB1"/>
    <w:rsid w:val="7EFD2358"/>
    <w:rsid w:val="7EFF5324"/>
    <w:rsid w:val="7F03165A"/>
    <w:rsid w:val="7F077A20"/>
    <w:rsid w:val="7F077BC2"/>
    <w:rsid w:val="7F09267A"/>
    <w:rsid w:val="7F2B23E6"/>
    <w:rsid w:val="7F2B4123"/>
    <w:rsid w:val="7F3426C9"/>
    <w:rsid w:val="7F3E0944"/>
    <w:rsid w:val="7F3E5DC7"/>
    <w:rsid w:val="7F5C2ED4"/>
    <w:rsid w:val="7F5E061E"/>
    <w:rsid w:val="7F643B5C"/>
    <w:rsid w:val="7F8A3D01"/>
    <w:rsid w:val="7F8B6823"/>
    <w:rsid w:val="7F9B25D3"/>
    <w:rsid w:val="7F9C4EBD"/>
    <w:rsid w:val="7FAD310E"/>
    <w:rsid w:val="7FCD6742"/>
    <w:rsid w:val="7FE44850"/>
    <w:rsid w:val="7FE546A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21"/>
    <w:autoRedefine/>
    <w:qFormat/>
    <w:uiPriority w:val="0"/>
    <w:pPr>
      <w:keepNext/>
      <w:keepLines/>
      <w:spacing w:line="440" w:lineRule="exact"/>
      <w:jc w:val="center"/>
      <w:outlineLvl w:val="0"/>
    </w:pPr>
    <w:rPr>
      <w:b/>
      <w:bCs/>
      <w:kern w:val="44"/>
      <w:sz w:val="44"/>
      <w:szCs w:val="44"/>
    </w:rPr>
  </w:style>
  <w:style w:type="paragraph" w:styleId="6">
    <w:name w:val="heading 2"/>
    <w:basedOn w:val="1"/>
    <w:next w:val="1"/>
    <w:link w:val="198"/>
    <w:autoRedefine/>
    <w:qFormat/>
    <w:uiPriority w:val="0"/>
    <w:pPr>
      <w:keepNext/>
      <w:keepLines/>
      <w:spacing w:line="440" w:lineRule="exact"/>
      <w:jc w:val="left"/>
      <w:outlineLvl w:val="1"/>
    </w:pPr>
    <w:rPr>
      <w:rFonts w:ascii="Arial" w:hAnsi="Arial" w:eastAsia="黑体"/>
      <w:b/>
      <w:bCs/>
      <w:szCs w:val="32"/>
    </w:rPr>
  </w:style>
  <w:style w:type="paragraph" w:styleId="7">
    <w:name w:val="heading 3"/>
    <w:basedOn w:val="1"/>
    <w:next w:val="1"/>
    <w:link w:val="154"/>
    <w:autoRedefine/>
    <w:qFormat/>
    <w:uiPriority w:val="0"/>
    <w:pPr>
      <w:keepNext/>
      <w:keepLines/>
      <w:spacing w:line="415" w:lineRule="auto"/>
      <w:outlineLvl w:val="2"/>
    </w:pPr>
    <w:rPr>
      <w:b/>
      <w:bCs/>
      <w:kern w:val="0"/>
      <w:sz w:val="32"/>
      <w:szCs w:val="32"/>
    </w:rPr>
  </w:style>
  <w:style w:type="paragraph" w:styleId="8">
    <w:name w:val="heading 4"/>
    <w:basedOn w:val="1"/>
    <w:next w:val="1"/>
    <w:autoRedefine/>
    <w:qFormat/>
    <w:uiPriority w:val="0"/>
    <w:pPr>
      <w:keepNext/>
      <w:keepLines/>
      <w:spacing w:line="374" w:lineRule="auto"/>
      <w:outlineLvl w:val="3"/>
    </w:pPr>
    <w:rPr>
      <w:rFonts w:ascii="Arial" w:hAnsi="Arial" w:eastAsia="黑体"/>
      <w:b/>
      <w:bCs/>
      <w:sz w:val="28"/>
      <w:szCs w:val="28"/>
    </w:rPr>
  </w:style>
  <w:style w:type="paragraph" w:styleId="9">
    <w:name w:val="heading 5"/>
    <w:basedOn w:val="1"/>
    <w:next w:val="1"/>
    <w:link w:val="130"/>
    <w:autoRedefine/>
    <w:qFormat/>
    <w:uiPriority w:val="0"/>
    <w:pPr>
      <w:keepNext/>
      <w:keepLines/>
      <w:spacing w:line="376" w:lineRule="auto"/>
      <w:outlineLvl w:val="4"/>
    </w:pPr>
    <w:rPr>
      <w:b/>
      <w:bCs/>
      <w:sz w:val="28"/>
      <w:szCs w:val="28"/>
    </w:rPr>
  </w:style>
  <w:style w:type="paragraph" w:styleId="10">
    <w:name w:val="heading 6"/>
    <w:basedOn w:val="1"/>
    <w:next w:val="1"/>
    <w:autoRedefine/>
    <w:qFormat/>
    <w:uiPriority w:val="0"/>
    <w:pPr>
      <w:keepNext/>
      <w:keepLines/>
      <w:widowControl/>
      <w:tabs>
        <w:tab w:val="left" w:pos="1440"/>
      </w:tabs>
      <w:spacing w:line="319" w:lineRule="auto"/>
      <w:ind w:left="1152" w:hanging="1152"/>
      <w:jc w:val="left"/>
      <w:outlineLvl w:val="5"/>
    </w:pPr>
    <w:rPr>
      <w:rFonts w:ascii="Arial" w:hAnsi="Arial" w:eastAsia="黑体"/>
      <w:b/>
      <w:bCs/>
      <w:kern w:val="0"/>
      <w:sz w:val="24"/>
    </w:rPr>
  </w:style>
  <w:style w:type="paragraph" w:styleId="11">
    <w:name w:val="heading 7"/>
    <w:basedOn w:val="1"/>
    <w:next w:val="1"/>
    <w:autoRedefine/>
    <w:qFormat/>
    <w:uiPriority w:val="0"/>
    <w:pPr>
      <w:keepNext/>
      <w:keepLines/>
      <w:widowControl/>
      <w:tabs>
        <w:tab w:val="left" w:pos="2520"/>
      </w:tabs>
      <w:spacing w:line="319" w:lineRule="auto"/>
      <w:ind w:left="1296" w:hanging="1296"/>
      <w:jc w:val="left"/>
      <w:outlineLvl w:val="6"/>
    </w:pPr>
    <w:rPr>
      <w:b/>
      <w:bCs/>
      <w:kern w:val="0"/>
      <w:sz w:val="24"/>
    </w:rPr>
  </w:style>
  <w:style w:type="paragraph" w:styleId="12">
    <w:name w:val="heading 8"/>
    <w:basedOn w:val="1"/>
    <w:next w:val="1"/>
    <w:autoRedefine/>
    <w:qFormat/>
    <w:uiPriority w:val="0"/>
    <w:pPr>
      <w:keepNext/>
      <w:keepLines/>
      <w:widowControl/>
      <w:tabs>
        <w:tab w:val="left" w:pos="1440"/>
      </w:tabs>
      <w:spacing w:line="319" w:lineRule="auto"/>
      <w:ind w:left="1440" w:hanging="1440"/>
      <w:jc w:val="left"/>
      <w:outlineLvl w:val="7"/>
    </w:pPr>
    <w:rPr>
      <w:rFonts w:ascii="Arial" w:hAnsi="Arial" w:eastAsia="黑体"/>
      <w:kern w:val="0"/>
      <w:sz w:val="24"/>
    </w:rPr>
  </w:style>
  <w:style w:type="paragraph" w:styleId="13">
    <w:name w:val="heading 9"/>
    <w:basedOn w:val="1"/>
    <w:next w:val="1"/>
    <w:autoRedefine/>
    <w:qFormat/>
    <w:uiPriority w:val="0"/>
    <w:pPr>
      <w:keepNext/>
      <w:keepLines/>
      <w:widowControl/>
      <w:tabs>
        <w:tab w:val="left" w:pos="1584"/>
      </w:tabs>
      <w:spacing w:line="319" w:lineRule="auto"/>
      <w:ind w:left="1584" w:hanging="1584"/>
      <w:jc w:val="left"/>
      <w:outlineLvl w:val="8"/>
    </w:pPr>
    <w:rPr>
      <w:rFonts w:ascii="Arial" w:hAnsi="Arial" w:eastAsia="黑体"/>
      <w:kern w:val="0"/>
      <w:szCs w:val="21"/>
    </w:rPr>
  </w:style>
  <w:style w:type="character" w:default="1" w:styleId="48">
    <w:name w:val="Default Paragraph Font"/>
    <w:autoRedefine/>
    <w:semiHidden/>
    <w:unhideWhenUsed/>
    <w:qFormat/>
    <w:uiPriority w:val="1"/>
  </w:style>
  <w:style w:type="table" w:default="1" w:styleId="4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0"/>
    <w:pPr>
      <w:spacing w:line="360" w:lineRule="auto"/>
      <w:ind w:firstLine="200" w:firstLineChars="200"/>
    </w:pPr>
    <w:rPr>
      <w:rFonts w:ascii="宋体"/>
      <w:szCs w:val="20"/>
    </w:rPr>
  </w:style>
  <w:style w:type="paragraph" w:styleId="3">
    <w:name w:val="Body Text Indent"/>
    <w:basedOn w:val="1"/>
    <w:next w:val="4"/>
    <w:autoRedefine/>
    <w:qFormat/>
    <w:uiPriority w:val="0"/>
    <w:pPr>
      <w:ind w:left="420" w:leftChars="200"/>
    </w:pPr>
  </w:style>
  <w:style w:type="paragraph" w:styleId="4">
    <w:name w:val="envelope return"/>
    <w:basedOn w:val="1"/>
    <w:autoRedefine/>
    <w:qFormat/>
    <w:uiPriority w:val="0"/>
    <w:pPr>
      <w:snapToGrid w:val="0"/>
    </w:pPr>
    <w:rPr>
      <w:rFonts w:ascii="Arial" w:hAnsi="Arial"/>
    </w:rPr>
  </w:style>
  <w:style w:type="paragraph" w:styleId="14">
    <w:name w:val="toc 7"/>
    <w:basedOn w:val="1"/>
    <w:next w:val="1"/>
    <w:autoRedefine/>
    <w:qFormat/>
    <w:uiPriority w:val="39"/>
    <w:pPr>
      <w:ind w:left="1260"/>
      <w:jc w:val="left"/>
    </w:pPr>
    <w:rPr>
      <w:sz w:val="18"/>
      <w:szCs w:val="18"/>
    </w:rPr>
  </w:style>
  <w:style w:type="paragraph" w:styleId="15">
    <w:name w:val="table of authorities"/>
    <w:basedOn w:val="1"/>
    <w:next w:val="1"/>
    <w:autoRedefine/>
    <w:unhideWhenUsed/>
    <w:qFormat/>
    <w:uiPriority w:val="0"/>
    <w:pPr>
      <w:ind w:left="420" w:leftChars="200"/>
    </w:pPr>
  </w:style>
  <w:style w:type="paragraph" w:styleId="16">
    <w:name w:val="Normal Indent"/>
    <w:basedOn w:val="1"/>
    <w:next w:val="2"/>
    <w:autoRedefine/>
    <w:qFormat/>
    <w:uiPriority w:val="0"/>
    <w:pPr>
      <w:ind w:firstLine="420" w:firstLineChars="200"/>
    </w:pPr>
  </w:style>
  <w:style w:type="paragraph" w:styleId="17">
    <w:name w:val="Document Map"/>
    <w:basedOn w:val="1"/>
    <w:autoRedefine/>
    <w:qFormat/>
    <w:uiPriority w:val="0"/>
    <w:pPr>
      <w:shd w:val="clear" w:color="auto" w:fill="000080"/>
    </w:pPr>
  </w:style>
  <w:style w:type="paragraph" w:styleId="18">
    <w:name w:val="annotation text"/>
    <w:basedOn w:val="1"/>
    <w:link w:val="113"/>
    <w:autoRedefine/>
    <w:qFormat/>
    <w:uiPriority w:val="0"/>
    <w:pPr>
      <w:jc w:val="left"/>
    </w:pPr>
  </w:style>
  <w:style w:type="paragraph" w:styleId="19">
    <w:name w:val="Body Text 3"/>
    <w:basedOn w:val="1"/>
    <w:autoRedefine/>
    <w:qFormat/>
    <w:uiPriority w:val="0"/>
    <w:rPr>
      <w:rFonts w:ascii="宋体"/>
      <w:sz w:val="24"/>
      <w:szCs w:val="20"/>
    </w:rPr>
  </w:style>
  <w:style w:type="paragraph" w:styleId="20">
    <w:name w:val="Body Text"/>
    <w:basedOn w:val="1"/>
    <w:next w:val="1"/>
    <w:link w:val="143"/>
    <w:autoRedefine/>
    <w:qFormat/>
    <w:uiPriority w:val="0"/>
  </w:style>
  <w:style w:type="paragraph" w:styleId="21">
    <w:name w:val="Block Text"/>
    <w:basedOn w:val="1"/>
    <w:next w:val="22"/>
    <w:autoRedefine/>
    <w:qFormat/>
    <w:uiPriority w:val="0"/>
    <w:pPr>
      <w:spacing w:line="400" w:lineRule="exact"/>
      <w:ind w:left="-359" w:leftChars="-171" w:right="31" w:rightChars="15" w:firstLine="980" w:firstLineChars="350"/>
    </w:pPr>
    <w:rPr>
      <w:rFonts w:ascii="宋体" w:hAnsi="宋体"/>
      <w:sz w:val="28"/>
      <w:szCs w:val="32"/>
    </w:rPr>
  </w:style>
  <w:style w:type="paragraph" w:styleId="22">
    <w:name w:val="Body Text Indent 3"/>
    <w:basedOn w:val="1"/>
    <w:next w:val="1"/>
    <w:autoRedefine/>
    <w:qFormat/>
    <w:uiPriority w:val="0"/>
    <w:pPr>
      <w:ind w:left="420" w:leftChars="200"/>
    </w:pPr>
    <w:rPr>
      <w:sz w:val="16"/>
      <w:szCs w:val="16"/>
    </w:rPr>
  </w:style>
  <w:style w:type="paragraph" w:styleId="23">
    <w:name w:val="toc 5"/>
    <w:basedOn w:val="1"/>
    <w:next w:val="1"/>
    <w:autoRedefine/>
    <w:qFormat/>
    <w:uiPriority w:val="39"/>
    <w:pPr>
      <w:ind w:left="840"/>
      <w:jc w:val="left"/>
    </w:pPr>
    <w:rPr>
      <w:sz w:val="18"/>
      <w:szCs w:val="18"/>
    </w:rPr>
  </w:style>
  <w:style w:type="paragraph" w:styleId="24">
    <w:name w:val="toc 3"/>
    <w:basedOn w:val="1"/>
    <w:next w:val="1"/>
    <w:autoRedefine/>
    <w:qFormat/>
    <w:uiPriority w:val="39"/>
    <w:pPr>
      <w:ind w:left="420"/>
      <w:jc w:val="left"/>
    </w:pPr>
    <w:rPr>
      <w:i/>
      <w:iCs/>
      <w:sz w:val="20"/>
      <w:szCs w:val="20"/>
    </w:rPr>
  </w:style>
  <w:style w:type="paragraph" w:styleId="25">
    <w:name w:val="Plain Text"/>
    <w:basedOn w:val="1"/>
    <w:next w:val="1"/>
    <w:link w:val="137"/>
    <w:autoRedefine/>
    <w:qFormat/>
    <w:uiPriority w:val="0"/>
    <w:rPr>
      <w:rFonts w:ascii="Courier New" w:hAnsi="Courier New"/>
      <w:szCs w:val="20"/>
    </w:rPr>
  </w:style>
  <w:style w:type="paragraph" w:styleId="26">
    <w:name w:val="toc 8"/>
    <w:basedOn w:val="1"/>
    <w:next w:val="1"/>
    <w:autoRedefine/>
    <w:qFormat/>
    <w:uiPriority w:val="39"/>
    <w:pPr>
      <w:ind w:left="1470"/>
      <w:jc w:val="left"/>
    </w:pPr>
    <w:rPr>
      <w:sz w:val="18"/>
      <w:szCs w:val="18"/>
    </w:rPr>
  </w:style>
  <w:style w:type="paragraph" w:styleId="27">
    <w:name w:val="Date"/>
    <w:basedOn w:val="1"/>
    <w:next w:val="1"/>
    <w:autoRedefine/>
    <w:qFormat/>
    <w:uiPriority w:val="0"/>
    <w:rPr>
      <w:sz w:val="24"/>
      <w:szCs w:val="20"/>
    </w:rPr>
  </w:style>
  <w:style w:type="paragraph" w:styleId="28">
    <w:name w:val="Body Text Indent 2"/>
    <w:basedOn w:val="1"/>
    <w:autoRedefine/>
    <w:qFormat/>
    <w:uiPriority w:val="0"/>
    <w:pPr>
      <w:spacing w:line="360" w:lineRule="exact"/>
      <w:ind w:firstLine="600" w:firstLineChars="250"/>
      <w:jc w:val="left"/>
    </w:pPr>
    <w:rPr>
      <w:sz w:val="24"/>
    </w:rPr>
  </w:style>
  <w:style w:type="paragraph" w:styleId="29">
    <w:name w:val="Balloon Text"/>
    <w:basedOn w:val="1"/>
    <w:autoRedefine/>
    <w:qFormat/>
    <w:uiPriority w:val="0"/>
    <w:rPr>
      <w:sz w:val="18"/>
      <w:szCs w:val="18"/>
    </w:rPr>
  </w:style>
  <w:style w:type="paragraph" w:styleId="30">
    <w:name w:val="footer"/>
    <w:basedOn w:val="1"/>
    <w:autoRedefine/>
    <w:qFormat/>
    <w:uiPriority w:val="0"/>
    <w:pPr>
      <w:tabs>
        <w:tab w:val="center" w:pos="4153"/>
        <w:tab w:val="right" w:pos="8306"/>
      </w:tabs>
      <w:snapToGrid w:val="0"/>
      <w:jc w:val="left"/>
    </w:pPr>
    <w:rPr>
      <w:sz w:val="18"/>
      <w:szCs w:val="18"/>
    </w:rPr>
  </w:style>
  <w:style w:type="paragraph" w:styleId="3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jc w:val="left"/>
    </w:pPr>
    <w:rPr>
      <w:b/>
      <w:bCs/>
      <w:caps/>
      <w:sz w:val="20"/>
      <w:szCs w:val="20"/>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style>
  <w:style w:type="paragraph" w:styleId="35">
    <w:name w:val="footnote text"/>
    <w:basedOn w:val="1"/>
    <w:autoRedefine/>
    <w:qFormat/>
    <w:uiPriority w:val="0"/>
    <w:rPr>
      <w:sz w:val="20"/>
      <w:szCs w:val="20"/>
    </w:rPr>
  </w:style>
  <w:style w:type="paragraph" w:styleId="36">
    <w:name w:val="toc 6"/>
    <w:basedOn w:val="1"/>
    <w:next w:val="1"/>
    <w:autoRedefine/>
    <w:qFormat/>
    <w:uiPriority w:val="39"/>
    <w:pPr>
      <w:ind w:left="1050"/>
      <w:jc w:val="left"/>
    </w:pPr>
    <w:rPr>
      <w:sz w:val="18"/>
      <w:szCs w:val="18"/>
    </w:rPr>
  </w:style>
  <w:style w:type="paragraph" w:styleId="37">
    <w:name w:val="table of figures"/>
    <w:basedOn w:val="1"/>
    <w:next w:val="1"/>
    <w:autoRedefine/>
    <w:qFormat/>
    <w:uiPriority w:val="0"/>
    <w:pPr>
      <w:ind w:left="200" w:leftChars="200" w:hanging="200" w:hangingChars="200"/>
    </w:pPr>
  </w:style>
  <w:style w:type="paragraph" w:styleId="38">
    <w:name w:val="toc 2"/>
    <w:basedOn w:val="1"/>
    <w:next w:val="1"/>
    <w:autoRedefine/>
    <w:qFormat/>
    <w:uiPriority w:val="39"/>
    <w:pPr>
      <w:ind w:left="210"/>
      <w:jc w:val="left"/>
    </w:pPr>
    <w:rPr>
      <w:smallCaps/>
      <w:sz w:val="20"/>
      <w:szCs w:val="20"/>
    </w:rPr>
  </w:style>
  <w:style w:type="paragraph" w:styleId="39">
    <w:name w:val="toc 9"/>
    <w:basedOn w:val="1"/>
    <w:next w:val="1"/>
    <w:autoRedefine/>
    <w:qFormat/>
    <w:uiPriority w:val="39"/>
    <w:pPr>
      <w:ind w:left="1680"/>
      <w:jc w:val="left"/>
    </w:pPr>
    <w:rPr>
      <w:sz w:val="18"/>
      <w:szCs w:val="18"/>
    </w:rPr>
  </w:style>
  <w:style w:type="paragraph" w:styleId="40">
    <w:name w:val="Body Text 2"/>
    <w:basedOn w:val="1"/>
    <w:autoRedefine/>
    <w:qFormat/>
    <w:uiPriority w:val="0"/>
    <w:pPr>
      <w:spacing w:line="440" w:lineRule="exact"/>
    </w:pPr>
    <w:rPr>
      <w:sz w:val="28"/>
    </w:rPr>
  </w:style>
  <w:style w:type="paragraph" w:styleId="41">
    <w:name w:val="HTML Preformatted"/>
    <w:basedOn w:val="1"/>
    <w:link w:val="11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2">
    <w:name w:val="Normal (Web)"/>
    <w:basedOn w:val="1"/>
    <w:autoRedefine/>
    <w:qFormat/>
    <w:uiPriority w:val="99"/>
    <w:pPr>
      <w:widowControl/>
      <w:spacing w:beforeAutospacing="1" w:afterAutospacing="1"/>
      <w:jc w:val="left"/>
    </w:pPr>
    <w:rPr>
      <w:rFonts w:ascii="宋体" w:hAnsi="宋体" w:cs="宋体"/>
      <w:kern w:val="0"/>
      <w:sz w:val="24"/>
    </w:rPr>
  </w:style>
  <w:style w:type="paragraph" w:styleId="43">
    <w:name w:val="Title"/>
    <w:basedOn w:val="1"/>
    <w:autoRedefine/>
    <w:qFormat/>
    <w:uiPriority w:val="0"/>
    <w:pPr>
      <w:adjustRightInd w:val="0"/>
      <w:spacing w:line="420" w:lineRule="atLeast"/>
      <w:jc w:val="center"/>
      <w:textAlignment w:val="baseline"/>
      <w:outlineLvl w:val="0"/>
    </w:pPr>
    <w:rPr>
      <w:rFonts w:ascii="Arial" w:hAnsi="Arial"/>
      <w:b/>
      <w:kern w:val="0"/>
      <w:sz w:val="32"/>
      <w:szCs w:val="20"/>
    </w:rPr>
  </w:style>
  <w:style w:type="paragraph" w:styleId="44">
    <w:name w:val="annotation subject"/>
    <w:basedOn w:val="18"/>
    <w:next w:val="18"/>
    <w:autoRedefine/>
    <w:qFormat/>
    <w:uiPriority w:val="0"/>
    <w:rPr>
      <w:b/>
      <w:bCs/>
    </w:rPr>
  </w:style>
  <w:style w:type="paragraph" w:styleId="45">
    <w:name w:val="Body Text First Indent"/>
    <w:basedOn w:val="20"/>
    <w:autoRedefine/>
    <w:qFormat/>
    <w:uiPriority w:val="0"/>
    <w:pPr>
      <w:ind w:firstLine="420" w:firstLineChars="100"/>
    </w:pPr>
  </w:style>
  <w:style w:type="table" w:styleId="47">
    <w:name w:val="Table Grid"/>
    <w:basedOn w:val="4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Strong"/>
    <w:basedOn w:val="48"/>
    <w:autoRedefine/>
    <w:qFormat/>
    <w:uiPriority w:val="0"/>
    <w:rPr>
      <w:b/>
      <w:bCs/>
    </w:rPr>
  </w:style>
  <w:style w:type="character" w:styleId="50">
    <w:name w:val="page number"/>
    <w:basedOn w:val="48"/>
    <w:autoRedefine/>
    <w:qFormat/>
    <w:uiPriority w:val="0"/>
  </w:style>
  <w:style w:type="character" w:styleId="51">
    <w:name w:val="FollowedHyperlink"/>
    <w:autoRedefine/>
    <w:qFormat/>
    <w:uiPriority w:val="0"/>
    <w:rPr>
      <w:color w:val="333333"/>
      <w:u w:val="none"/>
    </w:rPr>
  </w:style>
  <w:style w:type="character" w:styleId="52">
    <w:name w:val="Emphasis"/>
    <w:autoRedefine/>
    <w:qFormat/>
    <w:uiPriority w:val="0"/>
    <w:rPr>
      <w:color w:val="CC0033"/>
    </w:rPr>
  </w:style>
  <w:style w:type="character" w:styleId="53">
    <w:name w:val="HTML Definition"/>
    <w:autoRedefine/>
    <w:qFormat/>
    <w:uiPriority w:val="0"/>
  </w:style>
  <w:style w:type="character" w:styleId="54">
    <w:name w:val="HTML Typewriter"/>
    <w:autoRedefine/>
    <w:qFormat/>
    <w:uiPriority w:val="0"/>
    <w:rPr>
      <w:rFonts w:hint="default" w:ascii="monospace" w:hAnsi="monospace" w:eastAsia="monospace" w:cs="monospace"/>
      <w:sz w:val="20"/>
    </w:rPr>
  </w:style>
  <w:style w:type="character" w:styleId="55">
    <w:name w:val="HTML Acronym"/>
    <w:basedOn w:val="48"/>
    <w:autoRedefine/>
    <w:qFormat/>
    <w:uiPriority w:val="0"/>
  </w:style>
  <w:style w:type="character" w:styleId="56">
    <w:name w:val="HTML Variable"/>
    <w:autoRedefine/>
    <w:qFormat/>
    <w:uiPriority w:val="0"/>
  </w:style>
  <w:style w:type="character" w:styleId="57">
    <w:name w:val="Hyperlink"/>
    <w:basedOn w:val="48"/>
    <w:autoRedefine/>
    <w:qFormat/>
    <w:uiPriority w:val="99"/>
    <w:rPr>
      <w:color w:val="333333"/>
      <w:u w:val="none"/>
    </w:rPr>
  </w:style>
  <w:style w:type="character" w:styleId="58">
    <w:name w:val="HTML Code"/>
    <w:autoRedefine/>
    <w:qFormat/>
    <w:uiPriority w:val="0"/>
    <w:rPr>
      <w:rFonts w:hint="default" w:ascii="monospace" w:hAnsi="monospace" w:eastAsia="monospace" w:cs="monospace"/>
      <w:sz w:val="20"/>
    </w:rPr>
  </w:style>
  <w:style w:type="character" w:styleId="59">
    <w:name w:val="annotation reference"/>
    <w:autoRedefine/>
    <w:qFormat/>
    <w:uiPriority w:val="0"/>
    <w:rPr>
      <w:sz w:val="21"/>
      <w:szCs w:val="21"/>
    </w:rPr>
  </w:style>
  <w:style w:type="character" w:styleId="60">
    <w:name w:val="HTML Cite"/>
    <w:autoRedefine/>
    <w:qFormat/>
    <w:uiPriority w:val="0"/>
  </w:style>
  <w:style w:type="character" w:styleId="61">
    <w:name w:val="footnote reference"/>
    <w:autoRedefine/>
    <w:qFormat/>
    <w:uiPriority w:val="0"/>
    <w:rPr>
      <w:vertAlign w:val="superscript"/>
    </w:rPr>
  </w:style>
  <w:style w:type="character" w:styleId="62">
    <w:name w:val="HTML Keyboard"/>
    <w:autoRedefine/>
    <w:qFormat/>
    <w:uiPriority w:val="0"/>
    <w:rPr>
      <w:rFonts w:ascii="monospace" w:hAnsi="monospace" w:eastAsia="monospace" w:cs="monospace"/>
      <w:sz w:val="20"/>
    </w:rPr>
  </w:style>
  <w:style w:type="character" w:styleId="63">
    <w:name w:val="HTML Sample"/>
    <w:autoRedefine/>
    <w:qFormat/>
    <w:uiPriority w:val="0"/>
    <w:rPr>
      <w:rFonts w:hint="default" w:ascii="monospace" w:hAnsi="monospace" w:eastAsia="monospace" w:cs="monospace"/>
    </w:rPr>
  </w:style>
  <w:style w:type="paragraph" w:customStyle="1" w:styleId="64">
    <w:name w:val="正文（缩进）"/>
    <w:basedOn w:val="1"/>
    <w:next w:val="21"/>
    <w:autoRedefine/>
    <w:qFormat/>
    <w:uiPriority w:val="0"/>
    <w:pPr>
      <w:widowControl w:val="0"/>
      <w:spacing w:before="156" w:beforeLines="50" w:after="156" w:afterLines="50" w:line="360" w:lineRule="auto"/>
      <w:ind w:firstLine="480" w:firstLineChars="200"/>
      <w:textAlignment w:val="auto"/>
    </w:pPr>
    <w:rPr>
      <w:color w:val="auto"/>
      <w:kern w:val="2"/>
      <w:sz w:val="24"/>
      <w:szCs w:val="24"/>
      <w:u w:val="none" w:color="auto"/>
    </w:rPr>
  </w:style>
  <w:style w:type="paragraph" w:customStyle="1" w:styleId="65">
    <w:name w:val="正文文字 8"/>
    <w:basedOn w:val="1"/>
    <w:next w:val="1"/>
    <w:autoRedefine/>
    <w:qFormat/>
    <w:uiPriority w:val="0"/>
    <w:pPr>
      <w:ind w:left="240"/>
    </w:pPr>
    <w:rPr>
      <w:sz w:val="16"/>
    </w:rPr>
  </w:style>
  <w:style w:type="paragraph" w:styleId="66">
    <w:name w:val="List Paragraph"/>
    <w:basedOn w:val="1"/>
    <w:autoRedefine/>
    <w:qFormat/>
    <w:uiPriority w:val="34"/>
    <w:pPr>
      <w:ind w:firstLine="420" w:firstLineChars="200"/>
    </w:pPr>
  </w:style>
  <w:style w:type="paragraph" w:customStyle="1" w:styleId="67">
    <w:name w:val="_Style 62"/>
    <w:basedOn w:val="1"/>
    <w:next w:val="1"/>
    <w:autoRedefine/>
    <w:qFormat/>
    <w:uiPriority w:val="0"/>
    <w:pPr>
      <w:pBdr>
        <w:top w:val="single" w:color="auto" w:sz="6" w:space="1"/>
      </w:pBdr>
      <w:jc w:val="center"/>
    </w:pPr>
    <w:rPr>
      <w:rFonts w:ascii="Arial"/>
      <w:vanish/>
      <w:sz w:val="16"/>
    </w:rPr>
  </w:style>
  <w:style w:type="paragraph" w:customStyle="1" w:styleId="68">
    <w:name w:val="Blockquote"/>
    <w:basedOn w:val="1"/>
    <w:autoRedefine/>
    <w:qFormat/>
    <w:uiPriority w:val="0"/>
    <w:pPr>
      <w:autoSpaceDE w:val="0"/>
      <w:autoSpaceDN w:val="0"/>
      <w:adjustRightInd w:val="0"/>
      <w:ind w:left="360" w:right="360"/>
      <w:jc w:val="left"/>
    </w:pPr>
    <w:rPr>
      <w:kern w:val="0"/>
      <w:sz w:val="24"/>
      <w:szCs w:val="20"/>
    </w:rPr>
  </w:style>
  <w:style w:type="paragraph" w:customStyle="1" w:styleId="69">
    <w:name w:val="表格"/>
    <w:basedOn w:val="1"/>
    <w:autoRedefine/>
    <w:qFormat/>
    <w:uiPriority w:val="0"/>
    <w:pPr>
      <w:jc w:val="center"/>
      <w:textAlignment w:val="center"/>
    </w:pPr>
    <w:rPr>
      <w:rFonts w:ascii="华文细黑" w:hAnsi="华文细黑"/>
      <w:kern w:val="0"/>
      <w:szCs w:val="20"/>
    </w:rPr>
  </w:style>
  <w:style w:type="paragraph" w:customStyle="1" w:styleId="70">
    <w:name w:val="表格文字"/>
    <w:basedOn w:val="1"/>
    <w:autoRedefine/>
    <w:qFormat/>
    <w:uiPriority w:val="0"/>
    <w:pPr>
      <w:adjustRightInd w:val="0"/>
      <w:spacing w:line="420" w:lineRule="atLeast"/>
      <w:jc w:val="left"/>
      <w:textAlignment w:val="baseline"/>
    </w:pPr>
    <w:rPr>
      <w:kern w:val="0"/>
      <w:szCs w:val="20"/>
    </w:rPr>
  </w:style>
  <w:style w:type="paragraph" w:customStyle="1" w:styleId="71">
    <w:name w:val="Char"/>
    <w:basedOn w:val="1"/>
    <w:next w:val="1"/>
    <w:autoRedefine/>
    <w:qFormat/>
    <w:uiPriority w:val="0"/>
    <w:pPr>
      <w:widowControl/>
      <w:spacing w:line="360" w:lineRule="auto"/>
      <w:jc w:val="left"/>
    </w:pPr>
    <w:rPr>
      <w:kern w:val="0"/>
      <w:szCs w:val="20"/>
      <w:lang w:eastAsia="en-US"/>
    </w:rPr>
  </w:style>
  <w:style w:type="paragraph" w:customStyle="1" w:styleId="72">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3">
    <w:name w:val="样式2"/>
    <w:basedOn w:val="7"/>
    <w:autoRedefine/>
    <w:qFormat/>
    <w:uiPriority w:val="0"/>
  </w:style>
  <w:style w:type="paragraph" w:customStyle="1" w:styleId="74">
    <w:name w:val="Default Paragraph Char Char Char Char"/>
    <w:basedOn w:val="1"/>
    <w:next w:val="1"/>
    <w:autoRedefine/>
    <w:qFormat/>
    <w:uiPriority w:val="0"/>
    <w:pPr>
      <w:spacing w:line="360" w:lineRule="auto"/>
    </w:pPr>
    <w:rPr>
      <w:szCs w:val="20"/>
    </w:rPr>
  </w:style>
  <w:style w:type="paragraph" w:customStyle="1" w:styleId="75">
    <w:name w:val="节标题"/>
    <w:basedOn w:val="1"/>
    <w:next w:val="1"/>
    <w:autoRedefine/>
    <w:qFormat/>
    <w:uiPriority w:val="0"/>
    <w:pPr>
      <w:widowControl/>
      <w:spacing w:line="289" w:lineRule="atLeast"/>
      <w:jc w:val="center"/>
      <w:textAlignment w:val="baseline"/>
    </w:pPr>
    <w:rPr>
      <w:color w:val="000000"/>
      <w:kern w:val="0"/>
      <w:sz w:val="28"/>
      <w:szCs w:val="20"/>
      <w:u w:color="000000"/>
    </w:rPr>
  </w:style>
  <w:style w:type="paragraph" w:customStyle="1" w:styleId="76">
    <w:name w:val="默认段落字体 Para Char Char Char Char"/>
    <w:basedOn w:val="1"/>
    <w:autoRedefine/>
    <w:qFormat/>
    <w:uiPriority w:val="0"/>
  </w:style>
  <w:style w:type="paragraph" w:customStyle="1" w:styleId="77">
    <w:name w:val="样式 标题 1 + 黑体 五号"/>
    <w:basedOn w:val="5"/>
    <w:autoRedefine/>
    <w:qFormat/>
    <w:uiPriority w:val="0"/>
    <w:pPr>
      <w:jc w:val="left"/>
    </w:pPr>
    <w:rPr>
      <w:rFonts w:ascii="黑体" w:hAnsi="黑体" w:eastAsia="黑体"/>
      <w:sz w:val="21"/>
    </w:rPr>
  </w:style>
  <w:style w:type="paragraph" w:customStyle="1" w:styleId="78">
    <w:name w:val="样式4"/>
    <w:basedOn w:val="7"/>
    <w:autoRedefine/>
    <w:qFormat/>
    <w:uiPriority w:val="0"/>
    <w:rPr>
      <w:rFonts w:eastAsia="Arial"/>
    </w:rPr>
  </w:style>
  <w:style w:type="paragraph" w:customStyle="1" w:styleId="79">
    <w:name w:val="正文1"/>
    <w:autoRedefine/>
    <w:qFormat/>
    <w:uiPriority w:val="0"/>
    <w:pPr>
      <w:widowControl w:val="0"/>
      <w:adjustRightInd w:val="0"/>
      <w:spacing w:line="312" w:lineRule="atLeast"/>
      <w:jc w:val="both"/>
      <w:textAlignment w:val="baseline"/>
    </w:pPr>
    <w:rPr>
      <w:rFonts w:ascii="宋体" w:hAnsi="Times New Roman" w:eastAsia="宋体" w:cs="宋体"/>
      <w:sz w:val="24"/>
      <w:szCs w:val="24"/>
      <w:lang w:val="en-US" w:eastAsia="zh-CN" w:bidi="ar-SA"/>
    </w:rPr>
  </w:style>
  <w:style w:type="paragraph" w:customStyle="1" w:styleId="80">
    <w:name w:val="列出段落1"/>
    <w:basedOn w:val="1"/>
    <w:autoRedefine/>
    <w:qFormat/>
    <w:uiPriority w:val="0"/>
    <w:pPr>
      <w:ind w:firstLine="200" w:firstLineChars="200"/>
    </w:pPr>
  </w:style>
  <w:style w:type="paragraph" w:customStyle="1" w:styleId="81">
    <w:name w:val="p0 New"/>
    <w:basedOn w:val="1"/>
    <w:autoRedefine/>
    <w:qFormat/>
    <w:uiPriority w:val="0"/>
    <w:pPr>
      <w:widowControl/>
      <w:jc w:val="left"/>
    </w:pPr>
    <w:rPr>
      <w:rFonts w:ascii="宋体" w:hAnsi="宋体" w:cs="宋体"/>
      <w:kern w:val="0"/>
      <w:sz w:val="18"/>
      <w:szCs w:val="18"/>
    </w:rPr>
  </w:style>
  <w:style w:type="paragraph" w:customStyle="1" w:styleId="82">
    <w:name w:val="样式 标题 1 + 黑体 三号 非加粗 居中 段前: 6 磅 段后: 6 磅 行距: 固定值 20 磅"/>
    <w:basedOn w:val="5"/>
    <w:autoRedefine/>
    <w:qFormat/>
    <w:uiPriority w:val="0"/>
    <w:pPr>
      <w:spacing w:line="400" w:lineRule="exact"/>
    </w:pPr>
    <w:rPr>
      <w:rFonts w:ascii="黑体" w:hAnsi="黑体" w:eastAsia="黑体" w:cs="宋体"/>
      <w:b w:val="0"/>
      <w:bCs w:val="0"/>
      <w:sz w:val="32"/>
      <w:szCs w:val="20"/>
    </w:rPr>
  </w:style>
  <w:style w:type="paragraph" w:customStyle="1" w:styleId="83">
    <w:name w:val="_Style 78"/>
    <w:basedOn w:val="5"/>
    <w:next w:val="1"/>
    <w:autoRedefine/>
    <w:qFormat/>
    <w:uiPriority w:val="39"/>
    <w:pPr>
      <w:widowControl/>
      <w:spacing w:before="480" w:line="276" w:lineRule="auto"/>
      <w:jc w:val="left"/>
      <w:outlineLvl w:val="9"/>
    </w:pPr>
    <w:rPr>
      <w:rFonts w:ascii="Cambria" w:hAnsi="Cambria"/>
      <w:color w:val="365F91"/>
      <w:kern w:val="0"/>
      <w:sz w:val="28"/>
      <w:szCs w:val="28"/>
    </w:rPr>
  </w:style>
  <w:style w:type="paragraph" w:customStyle="1" w:styleId="84">
    <w:name w:val="Char1"/>
    <w:basedOn w:val="1"/>
    <w:autoRedefine/>
    <w:qFormat/>
    <w:uiPriority w:val="0"/>
    <w:pPr>
      <w:tabs>
        <w:tab w:val="left" w:pos="360"/>
      </w:tabs>
    </w:pPr>
    <w:rPr>
      <w:sz w:val="24"/>
    </w:rPr>
  </w:style>
  <w:style w:type="paragraph" w:customStyle="1" w:styleId="85">
    <w:name w:val="样式1"/>
    <w:basedOn w:val="7"/>
    <w:qFormat/>
    <w:uiPriority w:val="0"/>
    <w:rPr>
      <w:rFonts w:eastAsia="Arial"/>
    </w:rPr>
  </w:style>
  <w:style w:type="paragraph" w:customStyle="1" w:styleId="86">
    <w:name w:val="Char Char Char Char Char Char Char Char Char Char Char Char Char"/>
    <w:basedOn w:val="1"/>
    <w:autoRedefine/>
    <w:qFormat/>
    <w:uiPriority w:val="0"/>
  </w:style>
  <w:style w:type="paragraph" w:customStyle="1" w:styleId="87">
    <w:name w:val="p"/>
    <w:basedOn w:val="1"/>
    <w:autoRedefine/>
    <w:qFormat/>
    <w:uiPriority w:val="0"/>
    <w:rPr>
      <w:rFonts w:ascii="宋体"/>
      <w:sz w:val="24"/>
    </w:rPr>
  </w:style>
  <w:style w:type="paragraph" w:customStyle="1" w:styleId="88">
    <w:name w:val="Char Char Char Char"/>
    <w:basedOn w:val="1"/>
    <w:autoRedefine/>
    <w:qFormat/>
    <w:uiPriority w:val="0"/>
  </w:style>
  <w:style w:type="paragraph" w:customStyle="1" w:styleId="89">
    <w:name w:val="_Style 84"/>
    <w:basedOn w:val="1"/>
    <w:next w:val="1"/>
    <w:autoRedefine/>
    <w:qFormat/>
    <w:uiPriority w:val="0"/>
    <w:pPr>
      <w:pBdr>
        <w:bottom w:val="single" w:color="auto" w:sz="6" w:space="1"/>
      </w:pBdr>
      <w:jc w:val="center"/>
    </w:pPr>
    <w:rPr>
      <w:rFonts w:ascii="Arial"/>
      <w:vanish/>
      <w:sz w:val="16"/>
    </w:rPr>
  </w:style>
  <w:style w:type="paragraph" w:customStyle="1" w:styleId="90">
    <w:name w:val="1"/>
    <w:basedOn w:val="1"/>
    <w:next w:val="1"/>
    <w:autoRedefine/>
    <w:qFormat/>
    <w:uiPriority w:val="0"/>
  </w:style>
  <w:style w:type="paragraph" w:customStyle="1" w:styleId="91">
    <w:name w:val="p15"/>
    <w:autoRedefine/>
    <w:qFormat/>
    <w:uiPriority w:val="0"/>
    <w:pPr>
      <w:jc w:val="both"/>
    </w:pPr>
    <w:rPr>
      <w:rFonts w:ascii="宋体" w:hAnsi="Times New Roman" w:eastAsia="宋体" w:cs="宋体"/>
      <w:sz w:val="21"/>
      <w:szCs w:val="21"/>
      <w:lang w:val="en-US" w:eastAsia="zh-CN" w:bidi="ar-SA"/>
    </w:rPr>
  </w:style>
  <w:style w:type="paragraph" w:customStyle="1" w:styleId="92">
    <w:name w:val="样式 标题 2 + Times New Roman 四号 非加粗 段前: 5 磅 段后: 0 磅 行距: 固定值 20..."/>
    <w:basedOn w:val="6"/>
    <w:autoRedefine/>
    <w:qFormat/>
    <w:uiPriority w:val="0"/>
    <w:pPr>
      <w:spacing w:line="400" w:lineRule="exact"/>
    </w:pPr>
    <w:rPr>
      <w:rFonts w:ascii="Times New Roman" w:hAnsi="Times New Roman" w:cs="宋体"/>
      <w:b w:val="0"/>
      <w:bCs w:val="0"/>
      <w:sz w:val="28"/>
      <w:szCs w:val="20"/>
    </w:rPr>
  </w:style>
  <w:style w:type="paragraph" w:customStyle="1" w:styleId="93">
    <w:name w:val="Table Paragraph"/>
    <w:basedOn w:val="1"/>
    <w:autoRedefine/>
    <w:qFormat/>
    <w:uiPriority w:val="0"/>
    <w:pPr>
      <w:autoSpaceDE w:val="0"/>
      <w:autoSpaceDN w:val="0"/>
      <w:jc w:val="left"/>
    </w:pPr>
    <w:rPr>
      <w:rFonts w:ascii="宋体" w:hAnsi="宋体" w:cs="宋体"/>
      <w:kern w:val="0"/>
      <w:sz w:val="22"/>
      <w:szCs w:val="22"/>
      <w:lang w:val="zh-CN"/>
    </w:rPr>
  </w:style>
  <w:style w:type="paragraph" w:customStyle="1" w:styleId="94">
    <w:name w:val="p0"/>
    <w:basedOn w:val="1"/>
    <w:autoRedefine/>
    <w:qFormat/>
    <w:uiPriority w:val="99"/>
    <w:pPr>
      <w:widowControl/>
    </w:pPr>
    <w:rPr>
      <w:kern w:val="0"/>
      <w:szCs w:val="21"/>
    </w:rPr>
  </w:style>
  <w:style w:type="paragraph" w:customStyle="1" w:styleId="95">
    <w:name w:val="样式3"/>
    <w:basedOn w:val="7"/>
    <w:autoRedefine/>
    <w:qFormat/>
    <w:uiPriority w:val="0"/>
    <w:rPr>
      <w:rFonts w:eastAsia="Arial"/>
    </w:rPr>
  </w:style>
  <w:style w:type="paragraph" w:customStyle="1" w:styleId="96">
    <w:name w:val="样式 标题 3 + (中文) 黑体 小四 非加粗 段前: 7.8 磅 段后: 0 磅 行距: 固定值 20 磅"/>
    <w:basedOn w:val="7"/>
    <w:autoRedefine/>
    <w:qFormat/>
    <w:uiPriority w:val="0"/>
    <w:pPr>
      <w:spacing w:line="400" w:lineRule="exact"/>
    </w:pPr>
    <w:rPr>
      <w:rFonts w:eastAsia="黑体" w:cs="宋体"/>
      <w:b w:val="0"/>
      <w:bCs w:val="0"/>
      <w:sz w:val="24"/>
      <w:szCs w:val="20"/>
    </w:rPr>
  </w:style>
  <w:style w:type="paragraph" w:customStyle="1" w:styleId="97">
    <w:name w:val="Char Char Char Char Char Char Char Char Char Char Char Char Char1"/>
    <w:basedOn w:val="1"/>
    <w:autoRedefine/>
    <w:qFormat/>
    <w:uiPriority w:val="0"/>
  </w:style>
  <w:style w:type="paragraph" w:customStyle="1" w:styleId="98">
    <w:name w:val="Char4"/>
    <w:basedOn w:val="1"/>
    <w:autoRedefine/>
    <w:qFormat/>
    <w:uiPriority w:val="0"/>
    <w:pPr>
      <w:widowControl/>
      <w:spacing w:line="360" w:lineRule="auto"/>
      <w:ind w:firstLine="200" w:firstLineChars="200"/>
      <w:textAlignment w:val="baseline"/>
    </w:pPr>
    <w:rPr>
      <w:color w:val="000000"/>
      <w:kern w:val="0"/>
      <w:szCs w:val="20"/>
      <w:u w:color="000000"/>
    </w:rPr>
  </w:style>
  <w:style w:type="paragraph" w:customStyle="1" w:styleId="99">
    <w:name w:val="正文2"/>
    <w:autoRedefine/>
    <w:qFormat/>
    <w:uiPriority w:val="0"/>
    <w:pPr>
      <w:widowControl w:val="0"/>
      <w:jc w:val="both"/>
    </w:pPr>
    <w:rPr>
      <w:rFonts w:ascii="Times New Roman" w:hAnsi="Times New Roman" w:eastAsia="宋体" w:cs="Times New Roman"/>
      <w:lang w:val="en-US" w:eastAsia="zh-CN" w:bidi="ar-SA"/>
    </w:rPr>
  </w:style>
  <w:style w:type="character" w:customStyle="1" w:styleId="100">
    <w:name w:val="first-child"/>
    <w:basedOn w:val="48"/>
    <w:autoRedefine/>
    <w:qFormat/>
    <w:uiPriority w:val="0"/>
  </w:style>
  <w:style w:type="character" w:customStyle="1" w:styleId="101">
    <w:name w:val="Char Char Char Char Char Char"/>
    <w:autoRedefine/>
    <w:qFormat/>
    <w:uiPriority w:val="0"/>
    <w:rPr>
      <w:rFonts w:ascii="Arial" w:hAnsi="Arial" w:eastAsia="黑体"/>
      <w:b/>
      <w:bCs/>
      <w:kern w:val="2"/>
      <w:sz w:val="32"/>
      <w:szCs w:val="32"/>
      <w:lang w:val="en-US" w:eastAsia="zh-CN" w:bidi="ar-SA"/>
    </w:rPr>
  </w:style>
  <w:style w:type="character" w:customStyle="1" w:styleId="102">
    <w:name w:val="l11"/>
    <w:autoRedefine/>
    <w:qFormat/>
    <w:uiPriority w:val="0"/>
    <w:rPr>
      <w:color w:val="999999"/>
    </w:rPr>
  </w:style>
  <w:style w:type="character" w:customStyle="1" w:styleId="103">
    <w:name w:val="Char Char"/>
    <w:autoRedefine/>
    <w:qFormat/>
    <w:uiPriority w:val="0"/>
    <w:rPr>
      <w:rFonts w:ascii="Arial" w:hAnsi="Arial" w:eastAsia="黑体"/>
      <w:b/>
      <w:bCs/>
      <w:kern w:val="2"/>
      <w:sz w:val="32"/>
      <w:szCs w:val="32"/>
      <w:lang w:val="en-US" w:eastAsia="zh-CN" w:bidi="ar-SA"/>
    </w:rPr>
  </w:style>
  <w:style w:type="character" w:customStyle="1" w:styleId="104">
    <w:name w:val="Char Char5"/>
    <w:autoRedefine/>
    <w:qFormat/>
    <w:uiPriority w:val="0"/>
    <w:rPr>
      <w:rFonts w:ascii="Arial" w:hAnsi="Arial" w:eastAsia="黑体"/>
      <w:b/>
      <w:bCs/>
      <w:kern w:val="2"/>
      <w:sz w:val="32"/>
      <w:szCs w:val="32"/>
    </w:rPr>
  </w:style>
  <w:style w:type="character" w:customStyle="1" w:styleId="105">
    <w:name w:val="msg-box28"/>
    <w:basedOn w:val="48"/>
    <w:autoRedefine/>
    <w:qFormat/>
    <w:uiPriority w:val="0"/>
  </w:style>
  <w:style w:type="character" w:customStyle="1" w:styleId="106">
    <w:name w:val="img_title6"/>
    <w:autoRedefine/>
    <w:qFormat/>
    <w:uiPriority w:val="0"/>
    <w:rPr>
      <w:vanish/>
    </w:rPr>
  </w:style>
  <w:style w:type="character" w:customStyle="1" w:styleId="107">
    <w:name w:val="tit12"/>
    <w:qFormat/>
    <w:uiPriority w:val="0"/>
    <w:rPr>
      <w:color w:val="04A06C"/>
    </w:rPr>
  </w:style>
  <w:style w:type="character" w:customStyle="1" w:styleId="108">
    <w:name w:val="Char Char2"/>
    <w:autoRedefine/>
    <w:qFormat/>
    <w:uiPriority w:val="0"/>
    <w:rPr>
      <w:rFonts w:eastAsia="宋体"/>
      <w:kern w:val="2"/>
      <w:sz w:val="21"/>
      <w:szCs w:val="24"/>
      <w:lang w:val="en-US" w:eastAsia="zh-CN" w:bidi="ar-SA"/>
    </w:rPr>
  </w:style>
  <w:style w:type="character" w:customStyle="1" w:styleId="109">
    <w:name w:val="nostart"/>
    <w:autoRedefine/>
    <w:qFormat/>
    <w:uiPriority w:val="0"/>
    <w:rPr>
      <w:color w:val="FF0000"/>
    </w:rPr>
  </w:style>
  <w:style w:type="character" w:customStyle="1" w:styleId="110">
    <w:name w:val="nostart3"/>
    <w:basedOn w:val="48"/>
    <w:autoRedefine/>
    <w:qFormat/>
    <w:uiPriority w:val="0"/>
  </w:style>
  <w:style w:type="character" w:customStyle="1" w:styleId="111">
    <w:name w:val="img4"/>
    <w:basedOn w:val="48"/>
    <w:autoRedefine/>
    <w:qFormat/>
    <w:uiPriority w:val="0"/>
  </w:style>
  <w:style w:type="character" w:customStyle="1" w:styleId="112">
    <w:name w:val="tit11"/>
    <w:autoRedefine/>
    <w:qFormat/>
    <w:uiPriority w:val="0"/>
    <w:rPr>
      <w:color w:val="B60000"/>
    </w:rPr>
  </w:style>
  <w:style w:type="character" w:customStyle="1" w:styleId="113">
    <w:name w:val="批注文字 Char"/>
    <w:link w:val="18"/>
    <w:autoRedefine/>
    <w:qFormat/>
    <w:uiPriority w:val="0"/>
    <w:rPr>
      <w:rFonts w:eastAsia="宋体"/>
      <w:kern w:val="2"/>
      <w:sz w:val="21"/>
      <w:szCs w:val="24"/>
      <w:lang w:val="en-US" w:eastAsia="zh-CN" w:bidi="ar-SA"/>
    </w:rPr>
  </w:style>
  <w:style w:type="character" w:customStyle="1" w:styleId="114">
    <w:name w:val="over"/>
    <w:autoRedefine/>
    <w:qFormat/>
    <w:uiPriority w:val="0"/>
    <w:rPr>
      <w:color w:val="B60000"/>
    </w:rPr>
  </w:style>
  <w:style w:type="character" w:customStyle="1" w:styleId="115">
    <w:name w:val="HTML 预设格式 Char"/>
    <w:link w:val="41"/>
    <w:autoRedefine/>
    <w:qFormat/>
    <w:uiPriority w:val="0"/>
    <w:rPr>
      <w:rFonts w:ascii="宋体" w:hAnsi="宋体" w:cs="宋体"/>
      <w:sz w:val="24"/>
      <w:szCs w:val="24"/>
    </w:rPr>
  </w:style>
  <w:style w:type="character" w:customStyle="1" w:styleId="116">
    <w:name w:val="l6"/>
    <w:autoRedefine/>
    <w:qFormat/>
    <w:uiPriority w:val="0"/>
    <w:rPr>
      <w:color w:val="999999"/>
    </w:rPr>
  </w:style>
  <w:style w:type="character" w:customStyle="1" w:styleId="117">
    <w:name w:val="datetime"/>
    <w:autoRedefine/>
    <w:qFormat/>
    <w:uiPriority w:val="0"/>
    <w:rPr>
      <w:rFonts w:hint="default" w:ascii="Arial" w:hAnsi="Arial" w:cs="Arial"/>
      <w:color w:val="999999"/>
      <w:sz w:val="21"/>
      <w:szCs w:val="21"/>
    </w:rPr>
  </w:style>
  <w:style w:type="character" w:customStyle="1" w:styleId="118">
    <w:name w:val="txt1"/>
    <w:basedOn w:val="48"/>
    <w:autoRedefine/>
    <w:qFormat/>
    <w:uiPriority w:val="0"/>
  </w:style>
  <w:style w:type="character" w:customStyle="1" w:styleId="119">
    <w:name w:val="starting1"/>
    <w:autoRedefine/>
    <w:qFormat/>
    <w:uiPriority w:val="0"/>
    <w:rPr>
      <w:color w:val="339900"/>
    </w:rPr>
  </w:style>
  <w:style w:type="character" w:customStyle="1" w:styleId="120">
    <w:name w:val="starting2"/>
    <w:autoRedefine/>
    <w:qFormat/>
    <w:uiPriority w:val="0"/>
    <w:rPr>
      <w:color w:val="B60000"/>
    </w:rPr>
  </w:style>
  <w:style w:type="character" w:customStyle="1" w:styleId="121">
    <w:name w:val="标题 1 Char"/>
    <w:link w:val="5"/>
    <w:autoRedefine/>
    <w:qFormat/>
    <w:uiPriority w:val="0"/>
    <w:rPr>
      <w:rFonts w:eastAsia="宋体"/>
      <w:b/>
      <w:bCs/>
      <w:kern w:val="44"/>
      <w:sz w:val="44"/>
      <w:szCs w:val="44"/>
      <w:lang w:val="en-US" w:eastAsia="zh-CN" w:bidi="ar-SA"/>
    </w:rPr>
  </w:style>
  <w:style w:type="character" w:customStyle="1" w:styleId="122">
    <w:name w:val="red"/>
    <w:autoRedefine/>
    <w:qFormat/>
    <w:uiPriority w:val="0"/>
    <w:rPr>
      <w:rFonts w:hint="default" w:ascii="Arial" w:hAnsi="Arial" w:cs="Arial"/>
      <w:color w:val="E50000"/>
    </w:rPr>
  </w:style>
  <w:style w:type="character" w:customStyle="1" w:styleId="123">
    <w:name w:val="Char Char4"/>
    <w:autoRedefine/>
    <w:qFormat/>
    <w:uiPriority w:val="0"/>
    <w:rPr>
      <w:rFonts w:eastAsia="宋体"/>
      <w:b/>
      <w:bCs/>
      <w:kern w:val="44"/>
      <w:sz w:val="44"/>
      <w:szCs w:val="44"/>
      <w:lang w:val="en-US" w:eastAsia="zh-CN" w:bidi="ar-SA"/>
    </w:rPr>
  </w:style>
  <w:style w:type="character" w:customStyle="1" w:styleId="124">
    <w:name w:val="font161"/>
    <w:autoRedefine/>
    <w:qFormat/>
    <w:uiPriority w:val="0"/>
    <w:rPr>
      <w:b/>
      <w:bCs/>
      <w:sz w:val="32"/>
      <w:szCs w:val="32"/>
    </w:rPr>
  </w:style>
  <w:style w:type="character" w:customStyle="1" w:styleId="125">
    <w:name w:val="Char Char8"/>
    <w:autoRedefine/>
    <w:qFormat/>
    <w:uiPriority w:val="0"/>
    <w:rPr>
      <w:rFonts w:ascii="Arial" w:hAnsi="Arial" w:eastAsia="黑体"/>
      <w:b/>
      <w:bCs/>
      <w:kern w:val="2"/>
      <w:sz w:val="32"/>
      <w:szCs w:val="32"/>
      <w:lang w:val="en-US" w:eastAsia="zh-CN" w:bidi="ar-SA"/>
    </w:rPr>
  </w:style>
  <w:style w:type="character" w:customStyle="1" w:styleId="126">
    <w:name w:val="msg-box29"/>
    <w:basedOn w:val="48"/>
    <w:autoRedefine/>
    <w:qFormat/>
    <w:uiPriority w:val="0"/>
  </w:style>
  <w:style w:type="character" w:customStyle="1" w:styleId="127">
    <w:name w:val="over2"/>
    <w:autoRedefine/>
    <w:qFormat/>
    <w:uiPriority w:val="0"/>
    <w:rPr>
      <w:color w:val="999999"/>
    </w:rPr>
  </w:style>
  <w:style w:type="character" w:customStyle="1" w:styleId="128">
    <w:name w:val="img_title7"/>
    <w:autoRedefine/>
    <w:qFormat/>
    <w:uiPriority w:val="0"/>
    <w:rPr>
      <w:vanish/>
    </w:rPr>
  </w:style>
  <w:style w:type="character" w:customStyle="1" w:styleId="129">
    <w:name w:val="l7"/>
    <w:autoRedefine/>
    <w:qFormat/>
    <w:uiPriority w:val="0"/>
    <w:rPr>
      <w:color w:val="999999"/>
    </w:rPr>
  </w:style>
  <w:style w:type="character" w:customStyle="1" w:styleId="130">
    <w:name w:val="标题 5 Char"/>
    <w:link w:val="9"/>
    <w:autoRedefine/>
    <w:qFormat/>
    <w:uiPriority w:val="0"/>
    <w:rPr>
      <w:b/>
      <w:bCs/>
      <w:kern w:val="2"/>
      <w:sz w:val="28"/>
      <w:szCs w:val="28"/>
    </w:rPr>
  </w:style>
  <w:style w:type="character" w:customStyle="1" w:styleId="131">
    <w:name w:val="l51"/>
    <w:autoRedefine/>
    <w:qFormat/>
    <w:uiPriority w:val="0"/>
    <w:rPr>
      <w:color w:val="999999"/>
    </w:rPr>
  </w:style>
  <w:style w:type="character" w:customStyle="1" w:styleId="132">
    <w:name w:val="num81"/>
    <w:basedOn w:val="48"/>
    <w:autoRedefine/>
    <w:qFormat/>
    <w:uiPriority w:val="0"/>
  </w:style>
  <w:style w:type="character" w:customStyle="1" w:styleId="133">
    <w:name w:val="Char Char1"/>
    <w:autoRedefine/>
    <w:qFormat/>
    <w:uiPriority w:val="0"/>
    <w:rPr>
      <w:rFonts w:eastAsia="宋体"/>
      <w:kern w:val="2"/>
      <w:sz w:val="21"/>
      <w:szCs w:val="24"/>
      <w:lang w:val="en-US" w:eastAsia="zh-CN" w:bidi="ar-SA"/>
    </w:rPr>
  </w:style>
  <w:style w:type="character" w:customStyle="1" w:styleId="134">
    <w:name w:val="zs"/>
    <w:autoRedefine/>
    <w:qFormat/>
    <w:uiPriority w:val="0"/>
    <w:rPr>
      <w:color w:val="8D744B"/>
      <w:sz w:val="18"/>
      <w:szCs w:val="18"/>
    </w:rPr>
  </w:style>
  <w:style w:type="character" w:customStyle="1" w:styleId="135">
    <w:name w:val="bigfont"/>
    <w:basedOn w:val="48"/>
    <w:autoRedefine/>
    <w:qFormat/>
    <w:uiPriority w:val="0"/>
  </w:style>
  <w:style w:type="character" w:customStyle="1" w:styleId="136">
    <w:name w:val="txt"/>
    <w:autoRedefine/>
    <w:qFormat/>
    <w:uiPriority w:val="0"/>
    <w:rPr>
      <w:color w:val="C0C0C0"/>
    </w:rPr>
  </w:style>
  <w:style w:type="character" w:customStyle="1" w:styleId="137">
    <w:name w:val="纯文本 Char2"/>
    <w:link w:val="25"/>
    <w:autoRedefine/>
    <w:qFormat/>
    <w:uiPriority w:val="0"/>
    <w:rPr>
      <w:rFonts w:ascii="Courier New" w:hAnsi="Courier New" w:eastAsia="宋体"/>
      <w:kern w:val="2"/>
      <w:sz w:val="21"/>
      <w:lang w:val="en-US" w:eastAsia="zh-CN" w:bidi="ar-SA"/>
    </w:rPr>
  </w:style>
  <w:style w:type="character" w:customStyle="1" w:styleId="138">
    <w:name w:val="jg"/>
    <w:basedOn w:val="48"/>
    <w:autoRedefine/>
    <w:qFormat/>
    <w:uiPriority w:val="0"/>
  </w:style>
  <w:style w:type="character" w:customStyle="1" w:styleId="139">
    <w:name w:val="17"/>
    <w:autoRedefine/>
    <w:qFormat/>
    <w:uiPriority w:val="0"/>
    <w:rPr>
      <w:rFonts w:ascii="仿宋_GB2312" w:eastAsia="仿宋_GB2312"/>
      <w:color w:val="auto"/>
      <w:sz w:val="28"/>
      <w:szCs w:val="28"/>
      <w:u w:val="single"/>
    </w:rPr>
  </w:style>
  <w:style w:type="character" w:customStyle="1" w:styleId="140">
    <w:name w:val="job"/>
    <w:basedOn w:val="48"/>
    <w:autoRedefine/>
    <w:qFormat/>
    <w:uiPriority w:val="0"/>
  </w:style>
  <w:style w:type="character" w:customStyle="1" w:styleId="141">
    <w:name w:val="job1"/>
    <w:basedOn w:val="48"/>
    <w:autoRedefine/>
    <w:qFormat/>
    <w:uiPriority w:val="0"/>
  </w:style>
  <w:style w:type="character" w:customStyle="1" w:styleId="142">
    <w:name w:val="标题 2 Char"/>
    <w:autoRedefine/>
    <w:qFormat/>
    <w:uiPriority w:val="0"/>
    <w:rPr>
      <w:rFonts w:ascii="Arial" w:hAnsi="Arial" w:eastAsia="黑体"/>
      <w:b/>
      <w:bCs/>
      <w:kern w:val="2"/>
      <w:sz w:val="21"/>
      <w:szCs w:val="32"/>
      <w:lang w:val="en-US" w:eastAsia="zh-CN" w:bidi="ar-SA"/>
    </w:rPr>
  </w:style>
  <w:style w:type="character" w:customStyle="1" w:styleId="143">
    <w:name w:val="正文文本 Char"/>
    <w:link w:val="20"/>
    <w:autoRedefine/>
    <w:qFormat/>
    <w:uiPriority w:val="0"/>
    <w:rPr>
      <w:rFonts w:eastAsia="宋体"/>
      <w:kern w:val="2"/>
      <w:sz w:val="21"/>
      <w:szCs w:val="24"/>
      <w:lang w:val="en-US" w:eastAsia="zh-CN" w:bidi="ar-SA"/>
    </w:rPr>
  </w:style>
  <w:style w:type="character" w:customStyle="1" w:styleId="144">
    <w:name w:val="p05"/>
    <w:basedOn w:val="48"/>
    <w:autoRedefine/>
    <w:qFormat/>
    <w:uiPriority w:val="0"/>
  </w:style>
  <w:style w:type="character" w:customStyle="1" w:styleId="145">
    <w:name w:val="Char Char7"/>
    <w:autoRedefine/>
    <w:qFormat/>
    <w:uiPriority w:val="0"/>
    <w:rPr>
      <w:rFonts w:ascii="Arial" w:hAnsi="Arial" w:eastAsia="黑体"/>
      <w:b/>
      <w:bCs/>
      <w:kern w:val="2"/>
      <w:sz w:val="32"/>
      <w:szCs w:val="32"/>
      <w:lang w:val="en-US" w:eastAsia="zh-CN" w:bidi="ar-SA"/>
    </w:rPr>
  </w:style>
  <w:style w:type="character" w:customStyle="1" w:styleId="146">
    <w:name w:val="over3"/>
    <w:basedOn w:val="48"/>
    <w:autoRedefine/>
    <w:qFormat/>
    <w:uiPriority w:val="0"/>
  </w:style>
  <w:style w:type="character" w:customStyle="1" w:styleId="147">
    <w:name w:val="Char Char3"/>
    <w:autoRedefine/>
    <w:qFormat/>
    <w:uiPriority w:val="0"/>
    <w:rPr>
      <w:rFonts w:ascii="Arial" w:hAnsi="Arial" w:eastAsia="黑体"/>
      <w:b/>
      <w:bCs/>
      <w:kern w:val="2"/>
      <w:sz w:val="32"/>
      <w:szCs w:val="32"/>
      <w:lang w:val="en-US" w:eastAsia="zh-CN" w:bidi="ar-SA"/>
    </w:rPr>
  </w:style>
  <w:style w:type="character" w:customStyle="1" w:styleId="148">
    <w:name w:val="Char Char71"/>
    <w:autoRedefine/>
    <w:qFormat/>
    <w:uiPriority w:val="0"/>
    <w:rPr>
      <w:rFonts w:ascii="Arial" w:hAnsi="Arial" w:eastAsia="黑体"/>
      <w:b/>
      <w:bCs/>
      <w:kern w:val="2"/>
      <w:sz w:val="32"/>
      <w:szCs w:val="32"/>
      <w:lang w:val="en-US" w:eastAsia="zh-CN" w:bidi="ar-SA"/>
    </w:rPr>
  </w:style>
  <w:style w:type="character" w:customStyle="1" w:styleId="149">
    <w:name w:val="num51"/>
    <w:basedOn w:val="48"/>
    <w:autoRedefine/>
    <w:qFormat/>
    <w:uiPriority w:val="0"/>
  </w:style>
  <w:style w:type="character" w:customStyle="1" w:styleId="150">
    <w:name w:val="Char Char Char"/>
    <w:autoRedefine/>
    <w:qFormat/>
    <w:uiPriority w:val="0"/>
    <w:rPr>
      <w:rFonts w:eastAsia="宋体"/>
      <w:b/>
      <w:bCs/>
      <w:kern w:val="44"/>
      <w:sz w:val="44"/>
      <w:szCs w:val="44"/>
      <w:lang w:val="en-US" w:eastAsia="zh-CN" w:bidi="ar-SA"/>
    </w:rPr>
  </w:style>
  <w:style w:type="character" w:customStyle="1" w:styleId="151">
    <w:name w:val="msg-box31"/>
    <w:basedOn w:val="48"/>
    <w:autoRedefine/>
    <w:qFormat/>
    <w:uiPriority w:val="0"/>
  </w:style>
  <w:style w:type="character" w:customStyle="1" w:styleId="152">
    <w:name w:val="msg-box30"/>
    <w:basedOn w:val="48"/>
    <w:autoRedefine/>
    <w:qFormat/>
    <w:uiPriority w:val="0"/>
  </w:style>
  <w:style w:type="character" w:customStyle="1" w:styleId="153">
    <w:name w:val="标题 1 Char Char"/>
    <w:autoRedefine/>
    <w:qFormat/>
    <w:uiPriority w:val="0"/>
    <w:rPr>
      <w:rFonts w:eastAsia="宋体"/>
      <w:b/>
      <w:bCs/>
      <w:kern w:val="44"/>
      <w:sz w:val="44"/>
      <w:szCs w:val="44"/>
      <w:lang w:val="en-US" w:eastAsia="zh-CN" w:bidi="ar-SA"/>
    </w:rPr>
  </w:style>
  <w:style w:type="character" w:customStyle="1" w:styleId="154">
    <w:name w:val="标题 3 Char"/>
    <w:link w:val="7"/>
    <w:autoRedefine/>
    <w:qFormat/>
    <w:uiPriority w:val="0"/>
    <w:rPr>
      <w:b/>
      <w:bCs/>
      <w:sz w:val="32"/>
      <w:szCs w:val="32"/>
    </w:rPr>
  </w:style>
  <w:style w:type="character" w:customStyle="1" w:styleId="155">
    <w:name w:val="c1"/>
    <w:basedOn w:val="48"/>
    <w:autoRedefine/>
    <w:qFormat/>
    <w:uiPriority w:val="0"/>
  </w:style>
  <w:style w:type="character" w:customStyle="1" w:styleId="156">
    <w:name w:val="纯文本 Char1"/>
    <w:autoRedefine/>
    <w:qFormat/>
    <w:uiPriority w:val="0"/>
    <w:rPr>
      <w:rFonts w:ascii="Courier New" w:hAnsi="Courier New" w:eastAsia="宋体"/>
      <w:kern w:val="2"/>
      <w:sz w:val="21"/>
      <w:lang w:val="en-US" w:eastAsia="zh-CN" w:bidi="ar-SA"/>
    </w:rPr>
  </w:style>
  <w:style w:type="character" w:customStyle="1" w:styleId="157">
    <w:name w:val="Char Char Char1"/>
    <w:autoRedefine/>
    <w:qFormat/>
    <w:uiPriority w:val="0"/>
    <w:rPr>
      <w:rFonts w:ascii="Arial" w:hAnsi="Arial" w:eastAsia="黑体"/>
      <w:b/>
      <w:bCs/>
      <w:kern w:val="2"/>
      <w:sz w:val="32"/>
      <w:szCs w:val="32"/>
      <w:lang w:val="en-US" w:eastAsia="zh-CN" w:bidi="ar-SA"/>
    </w:rPr>
  </w:style>
  <w:style w:type="character" w:customStyle="1" w:styleId="158">
    <w:name w:val="l3"/>
    <w:autoRedefine/>
    <w:qFormat/>
    <w:uiPriority w:val="0"/>
    <w:rPr>
      <w:color w:val="999999"/>
    </w:rPr>
  </w:style>
  <w:style w:type="character" w:customStyle="1" w:styleId="159">
    <w:name w:val="tit14"/>
    <w:autoRedefine/>
    <w:qFormat/>
    <w:uiPriority w:val="0"/>
    <w:rPr>
      <w:color w:val="B60000"/>
    </w:rPr>
  </w:style>
  <w:style w:type="character" w:customStyle="1" w:styleId="160">
    <w:name w:val="tit10"/>
    <w:autoRedefine/>
    <w:qFormat/>
    <w:uiPriority w:val="0"/>
    <w:rPr>
      <w:color w:val="B60000"/>
    </w:rPr>
  </w:style>
  <w:style w:type="character" w:customStyle="1" w:styleId="161">
    <w:name w:val="l21"/>
    <w:autoRedefine/>
    <w:qFormat/>
    <w:uiPriority w:val="0"/>
    <w:rPr>
      <w:color w:val="999999"/>
    </w:rPr>
  </w:style>
  <w:style w:type="character" w:customStyle="1" w:styleId="162">
    <w:name w:val="num71"/>
    <w:basedOn w:val="48"/>
    <w:autoRedefine/>
    <w:qFormat/>
    <w:uiPriority w:val="0"/>
  </w:style>
  <w:style w:type="character" w:customStyle="1" w:styleId="163">
    <w:name w:val="标题 2 Char Char"/>
    <w:autoRedefine/>
    <w:qFormat/>
    <w:uiPriority w:val="0"/>
    <w:rPr>
      <w:rFonts w:ascii="Arial" w:hAnsi="Arial" w:eastAsia="黑体"/>
      <w:b/>
      <w:bCs/>
      <w:kern w:val="2"/>
      <w:sz w:val="32"/>
      <w:szCs w:val="32"/>
      <w:lang w:val="en-US" w:eastAsia="zh-CN" w:bidi="ar-SA"/>
    </w:rPr>
  </w:style>
  <w:style w:type="character" w:customStyle="1" w:styleId="164">
    <w:name w:val="buvis"/>
    <w:autoRedefine/>
    <w:qFormat/>
    <w:uiPriority w:val="0"/>
    <w:rPr>
      <w:color w:val="999999"/>
    </w:rPr>
  </w:style>
  <w:style w:type="character" w:customStyle="1" w:styleId="165">
    <w:name w:val="name"/>
    <w:autoRedefine/>
    <w:qFormat/>
    <w:uiPriority w:val="0"/>
    <w:rPr>
      <w:color w:val="444444"/>
      <w:sz w:val="21"/>
      <w:szCs w:val="21"/>
    </w:rPr>
  </w:style>
  <w:style w:type="character" w:customStyle="1" w:styleId="166">
    <w:name w:val="layui-this"/>
    <w:autoRedefine/>
    <w:qFormat/>
    <w:uiPriority w:val="0"/>
    <w:rPr>
      <w:bdr w:val="single" w:color="EEEEEE" w:sz="6" w:space="0"/>
      <w:shd w:val="clear" w:color="auto" w:fill="FFFFFF"/>
    </w:rPr>
  </w:style>
  <w:style w:type="character" w:customStyle="1" w:styleId="167">
    <w:name w:val="标题 2 Char1"/>
    <w:autoRedefine/>
    <w:qFormat/>
    <w:uiPriority w:val="0"/>
    <w:rPr>
      <w:rFonts w:ascii="Arial" w:hAnsi="Arial" w:eastAsia="黑体"/>
      <w:b/>
      <w:bCs/>
      <w:kern w:val="2"/>
      <w:sz w:val="32"/>
      <w:szCs w:val="32"/>
      <w:lang w:val="en-US" w:eastAsia="zh-CN" w:bidi="ar-SA"/>
    </w:rPr>
  </w:style>
  <w:style w:type="character" w:customStyle="1" w:styleId="168">
    <w:name w:val="zw"/>
    <w:autoRedefine/>
    <w:qFormat/>
    <w:uiPriority w:val="0"/>
    <w:rPr>
      <w:color w:val="BD1E22"/>
      <w:sz w:val="22"/>
      <w:szCs w:val="22"/>
    </w:rPr>
  </w:style>
  <w:style w:type="character" w:customStyle="1" w:styleId="169">
    <w:name w:val="name1"/>
    <w:autoRedefine/>
    <w:qFormat/>
    <w:uiPriority w:val="0"/>
    <w:rPr>
      <w:color w:val="695435"/>
      <w:sz w:val="24"/>
      <w:szCs w:val="24"/>
    </w:rPr>
  </w:style>
  <w:style w:type="character" w:customStyle="1" w:styleId="170">
    <w:name w:val="num61"/>
    <w:basedOn w:val="48"/>
    <w:autoRedefine/>
    <w:qFormat/>
    <w:uiPriority w:val="0"/>
  </w:style>
  <w:style w:type="character" w:customStyle="1" w:styleId="171">
    <w:name w:val="mesg-myd"/>
    <w:autoRedefine/>
    <w:qFormat/>
    <w:uiPriority w:val="0"/>
    <w:rPr>
      <w:color w:val="EE0000"/>
    </w:rPr>
  </w:style>
  <w:style w:type="character" w:customStyle="1" w:styleId="172">
    <w:name w:val="c2"/>
    <w:basedOn w:val="48"/>
    <w:autoRedefine/>
    <w:qFormat/>
    <w:uiPriority w:val="0"/>
  </w:style>
  <w:style w:type="character" w:customStyle="1" w:styleId="173">
    <w:name w:val="c3"/>
    <w:basedOn w:val="48"/>
    <w:autoRedefine/>
    <w:qFormat/>
    <w:uiPriority w:val="0"/>
  </w:style>
  <w:style w:type="character" w:customStyle="1" w:styleId="174">
    <w:name w:val="over1"/>
    <w:autoRedefine/>
    <w:qFormat/>
    <w:uiPriority w:val="0"/>
    <w:rPr>
      <w:color w:val="B60000"/>
    </w:rPr>
  </w:style>
  <w:style w:type="character" w:customStyle="1" w:styleId="175">
    <w:name w:val="tit13"/>
    <w:autoRedefine/>
    <w:qFormat/>
    <w:uiPriority w:val="0"/>
    <w:rPr>
      <w:color w:val="FFFFFF"/>
    </w:rPr>
  </w:style>
  <w:style w:type="character" w:customStyle="1" w:styleId="176">
    <w:name w:val="Char Char21"/>
    <w:autoRedefine/>
    <w:qFormat/>
    <w:uiPriority w:val="0"/>
    <w:rPr>
      <w:rFonts w:eastAsia="宋体"/>
      <w:kern w:val="2"/>
      <w:sz w:val="21"/>
      <w:szCs w:val="24"/>
      <w:lang w:val="en-US" w:eastAsia="zh-CN" w:bidi="ar-SA"/>
    </w:rPr>
  </w:style>
  <w:style w:type="character" w:customStyle="1" w:styleId="177">
    <w:name w:val="l41"/>
    <w:autoRedefine/>
    <w:qFormat/>
    <w:uiPriority w:val="0"/>
    <w:rPr>
      <w:color w:val="999999"/>
    </w:rPr>
  </w:style>
  <w:style w:type="character" w:customStyle="1" w:styleId="178">
    <w:name w:val="16"/>
    <w:autoRedefine/>
    <w:qFormat/>
    <w:uiPriority w:val="0"/>
    <w:rPr>
      <w:rFonts w:ascii="仿宋_GB2312" w:eastAsia="仿宋_GB2312"/>
      <w:color w:val="auto"/>
      <w:sz w:val="28"/>
      <w:szCs w:val="28"/>
    </w:rPr>
  </w:style>
  <w:style w:type="character" w:customStyle="1" w:styleId="179">
    <w:name w:val="num31"/>
    <w:basedOn w:val="48"/>
    <w:autoRedefine/>
    <w:qFormat/>
    <w:uiPriority w:val="0"/>
  </w:style>
  <w:style w:type="character" w:customStyle="1" w:styleId="180">
    <w:name w:val="starting4"/>
    <w:basedOn w:val="48"/>
    <w:autoRedefine/>
    <w:qFormat/>
    <w:uiPriority w:val="0"/>
  </w:style>
  <w:style w:type="character" w:customStyle="1" w:styleId="181">
    <w:name w:val="bsharetext"/>
    <w:basedOn w:val="48"/>
    <w:autoRedefine/>
    <w:qFormat/>
    <w:uiPriority w:val="0"/>
  </w:style>
  <w:style w:type="character" w:customStyle="1" w:styleId="182">
    <w:name w:val="unit"/>
    <w:autoRedefine/>
    <w:qFormat/>
    <w:uiPriority w:val="0"/>
    <w:rPr>
      <w:color w:val="999999"/>
    </w:rPr>
  </w:style>
  <w:style w:type="character" w:customStyle="1" w:styleId="183">
    <w:name w:val="nostart2"/>
    <w:autoRedefine/>
    <w:qFormat/>
    <w:uiPriority w:val="0"/>
    <w:rPr>
      <w:color w:val="B60000"/>
    </w:rPr>
  </w:style>
  <w:style w:type="character" w:customStyle="1" w:styleId="184">
    <w:name w:val="纯文本 Char"/>
    <w:autoRedefine/>
    <w:qFormat/>
    <w:uiPriority w:val="99"/>
    <w:rPr>
      <w:rFonts w:ascii="Courier New" w:hAnsi="Courier New" w:eastAsia="宋体"/>
      <w:kern w:val="2"/>
      <w:sz w:val="21"/>
      <w:lang w:val="en-US" w:eastAsia="zh-CN" w:bidi="ar-SA"/>
    </w:rPr>
  </w:style>
  <w:style w:type="character" w:customStyle="1" w:styleId="185">
    <w:name w:val="Char Char81"/>
    <w:autoRedefine/>
    <w:qFormat/>
    <w:uiPriority w:val="0"/>
    <w:rPr>
      <w:rFonts w:ascii="Arial" w:hAnsi="Arial" w:eastAsia="黑体"/>
      <w:b/>
      <w:bCs/>
      <w:kern w:val="2"/>
      <w:sz w:val="32"/>
      <w:szCs w:val="32"/>
      <w:lang w:val="en-US" w:eastAsia="zh-CN" w:bidi="ar-SA"/>
    </w:rPr>
  </w:style>
  <w:style w:type="character" w:customStyle="1" w:styleId="186">
    <w:name w:val="starting"/>
    <w:autoRedefine/>
    <w:qFormat/>
    <w:uiPriority w:val="0"/>
    <w:rPr>
      <w:color w:val="339900"/>
    </w:rPr>
  </w:style>
  <w:style w:type="character" w:customStyle="1" w:styleId="187">
    <w:name w:val="nostart1"/>
    <w:autoRedefine/>
    <w:qFormat/>
    <w:uiPriority w:val="0"/>
    <w:rPr>
      <w:color w:val="FF0000"/>
    </w:rPr>
  </w:style>
  <w:style w:type="character" w:customStyle="1" w:styleId="188">
    <w:name w:val="num210"/>
    <w:basedOn w:val="48"/>
    <w:autoRedefine/>
    <w:qFormat/>
    <w:uiPriority w:val="0"/>
  </w:style>
  <w:style w:type="character" w:customStyle="1" w:styleId="189">
    <w:name w:val="buvis1"/>
    <w:autoRedefine/>
    <w:qFormat/>
    <w:uiPriority w:val="0"/>
    <w:rPr>
      <w:color w:val="CC0000"/>
    </w:rPr>
  </w:style>
  <w:style w:type="character" w:customStyle="1" w:styleId="190">
    <w:name w:val="starting3"/>
    <w:basedOn w:val="48"/>
    <w:autoRedefine/>
    <w:qFormat/>
    <w:uiPriority w:val="0"/>
  </w:style>
  <w:style w:type="character" w:customStyle="1" w:styleId="191">
    <w:name w:val="textcontents"/>
    <w:basedOn w:val="48"/>
    <w:autoRedefine/>
    <w:qFormat/>
    <w:uiPriority w:val="0"/>
  </w:style>
  <w:style w:type="character" w:customStyle="1" w:styleId="192">
    <w:name w:val="num41"/>
    <w:basedOn w:val="48"/>
    <w:autoRedefine/>
    <w:qFormat/>
    <w:uiPriority w:val="0"/>
  </w:style>
  <w:style w:type="character" w:customStyle="1" w:styleId="193">
    <w:name w:val="tit9"/>
    <w:autoRedefine/>
    <w:qFormat/>
    <w:uiPriority w:val="0"/>
    <w:rPr>
      <w:color w:val="B60000"/>
      <w:sz w:val="27"/>
      <w:szCs w:val="27"/>
      <w:bdr w:val="single" w:color="DFCEB8" w:sz="6" w:space="0"/>
      <w:shd w:val="clear" w:color="auto" w:fill="FFFFFF"/>
    </w:rPr>
  </w:style>
  <w:style w:type="character" w:customStyle="1" w:styleId="194">
    <w:name w:val="name2"/>
    <w:autoRedefine/>
    <w:qFormat/>
    <w:uiPriority w:val="0"/>
    <w:rPr>
      <w:color w:val="000000"/>
      <w:sz w:val="39"/>
      <w:szCs w:val="39"/>
    </w:rPr>
  </w:style>
  <w:style w:type="character" w:customStyle="1" w:styleId="195">
    <w:name w:val="img_title8"/>
    <w:autoRedefine/>
    <w:qFormat/>
    <w:uiPriority w:val="0"/>
    <w:rPr>
      <w:vanish/>
    </w:rPr>
  </w:style>
  <w:style w:type="character" w:customStyle="1" w:styleId="196">
    <w:name w:val="tit15"/>
    <w:autoRedefine/>
    <w:qFormat/>
    <w:uiPriority w:val="0"/>
    <w:rPr>
      <w:b/>
      <w:color w:val="B60000"/>
    </w:rPr>
  </w:style>
  <w:style w:type="character" w:customStyle="1" w:styleId="197">
    <w:name w:val="img_title9"/>
    <w:autoRedefine/>
    <w:qFormat/>
    <w:uiPriority w:val="0"/>
    <w:rPr>
      <w:vanish/>
    </w:rPr>
  </w:style>
  <w:style w:type="character" w:customStyle="1" w:styleId="198">
    <w:name w:val="标题 2 Char2"/>
    <w:link w:val="6"/>
    <w:autoRedefine/>
    <w:qFormat/>
    <w:uiPriority w:val="0"/>
    <w:rPr>
      <w:rFonts w:ascii="Arial" w:hAnsi="Arial" w:eastAsia="黑体"/>
      <w:b/>
      <w:bCs/>
      <w:kern w:val="2"/>
      <w:sz w:val="21"/>
      <w:szCs w:val="32"/>
      <w:lang w:val="en-US" w:eastAsia="zh-CN" w:bidi="ar-SA"/>
    </w:rPr>
  </w:style>
  <w:style w:type="paragraph" w:customStyle="1" w:styleId="199">
    <w:name w:val="正文 New"/>
    <w:autoRedefine/>
    <w:qFormat/>
    <w:uiPriority w:val="0"/>
    <w:pPr>
      <w:widowControl w:val="0"/>
      <w:spacing w:line="440" w:lineRule="exact"/>
      <w:ind w:left="357" w:hanging="357"/>
      <w:jc w:val="both"/>
    </w:pPr>
    <w:rPr>
      <w:rFonts w:ascii="Calibri" w:hAnsi="Calibri" w:eastAsia="宋体" w:cs="Times New Roman"/>
      <w:kern w:val="2"/>
      <w:sz w:val="21"/>
      <w:szCs w:val="22"/>
      <w:lang w:val="en-US" w:eastAsia="zh-CN" w:bidi="ar-SA"/>
    </w:rPr>
  </w:style>
  <w:style w:type="character" w:customStyle="1" w:styleId="200">
    <w:name w:val="font12"/>
    <w:basedOn w:val="48"/>
    <w:autoRedefine/>
    <w:qFormat/>
    <w:uiPriority w:val="0"/>
    <w:rPr>
      <w:rFonts w:hint="eastAsia" w:ascii="仿宋" w:hAnsi="仿宋" w:eastAsia="仿宋" w:cs="仿宋"/>
      <w:b/>
      <w:color w:val="000000"/>
      <w:sz w:val="32"/>
      <w:szCs w:val="32"/>
      <w:u w:val="none"/>
    </w:rPr>
  </w:style>
  <w:style w:type="character" w:customStyle="1" w:styleId="201">
    <w:name w:val="font101"/>
    <w:basedOn w:val="48"/>
    <w:autoRedefine/>
    <w:qFormat/>
    <w:uiPriority w:val="0"/>
    <w:rPr>
      <w:rFonts w:hint="default" w:ascii="Times New Roman" w:hAnsi="Times New Roman" w:cs="Times New Roman"/>
      <w:color w:val="000000"/>
      <w:sz w:val="24"/>
      <w:szCs w:val="24"/>
      <w:u w:val="none"/>
    </w:rPr>
  </w:style>
  <w:style w:type="character" w:customStyle="1" w:styleId="202">
    <w:name w:val="font111"/>
    <w:basedOn w:val="48"/>
    <w:autoRedefine/>
    <w:qFormat/>
    <w:uiPriority w:val="0"/>
    <w:rPr>
      <w:rFonts w:ascii="仿宋_GB2312" w:eastAsia="仿宋_GB2312" w:cs="仿宋_GB2312"/>
      <w:color w:val="000000"/>
      <w:sz w:val="24"/>
      <w:szCs w:val="24"/>
      <w:u w:val="none"/>
    </w:rPr>
  </w:style>
  <w:style w:type="character" w:customStyle="1" w:styleId="203">
    <w:name w:val="font91"/>
    <w:basedOn w:val="48"/>
    <w:autoRedefine/>
    <w:qFormat/>
    <w:uiPriority w:val="0"/>
    <w:rPr>
      <w:rFonts w:hint="eastAsia" w:ascii="仿宋" w:hAnsi="仿宋" w:eastAsia="仿宋" w:cs="仿宋"/>
      <w:color w:val="000000"/>
      <w:sz w:val="24"/>
      <w:szCs w:val="24"/>
      <w:u w:val="single"/>
    </w:rPr>
  </w:style>
  <w:style w:type="character" w:customStyle="1" w:styleId="204">
    <w:name w:val="font81"/>
    <w:basedOn w:val="48"/>
    <w:autoRedefine/>
    <w:qFormat/>
    <w:uiPriority w:val="0"/>
    <w:rPr>
      <w:rFonts w:hint="default" w:ascii="Times New Roman" w:hAnsi="Times New Roman" w:cs="Times New Roman"/>
      <w:color w:val="000000"/>
      <w:sz w:val="24"/>
      <w:szCs w:val="24"/>
      <w:u w:val="none"/>
    </w:rPr>
  </w:style>
  <w:style w:type="character" w:customStyle="1" w:styleId="205">
    <w:name w:val="font61"/>
    <w:basedOn w:val="48"/>
    <w:autoRedefine/>
    <w:qFormat/>
    <w:uiPriority w:val="0"/>
    <w:rPr>
      <w:rFonts w:hint="eastAsia" w:ascii="仿宋_GB2312" w:eastAsia="仿宋_GB2312" w:cs="仿宋_GB2312"/>
      <w:color w:val="000000"/>
      <w:sz w:val="24"/>
      <w:szCs w:val="24"/>
      <w:u w:val="none"/>
    </w:rPr>
  </w:style>
  <w:style w:type="character" w:customStyle="1" w:styleId="206">
    <w:name w:val="font21"/>
    <w:basedOn w:val="48"/>
    <w:autoRedefine/>
    <w:qFormat/>
    <w:uiPriority w:val="0"/>
    <w:rPr>
      <w:rFonts w:hint="default" w:ascii="Times New Roman" w:hAnsi="Times New Roman" w:cs="Times New Roman"/>
      <w:color w:val="000000"/>
      <w:sz w:val="24"/>
      <w:szCs w:val="24"/>
      <w:u w:val="none"/>
    </w:rPr>
  </w:style>
  <w:style w:type="character" w:customStyle="1" w:styleId="207">
    <w:name w:val="NormalCharacter"/>
    <w:autoRedefine/>
    <w:semiHidden/>
    <w:qFormat/>
    <w:uiPriority w:val="0"/>
    <w:rPr>
      <w:snapToGrid w:val="0"/>
      <w:kern w:val="0"/>
      <w:sz w:val="32"/>
      <w:szCs w:val="32"/>
      <w:lang w:val="en-US" w:eastAsia="zh-CN" w:bidi="ar-SA"/>
    </w:rPr>
  </w:style>
  <w:style w:type="character" w:customStyle="1" w:styleId="208">
    <w:name w:val="first-child1"/>
    <w:basedOn w:val="48"/>
    <w:autoRedefine/>
    <w:qFormat/>
    <w:uiPriority w:val="0"/>
  </w:style>
  <w:style w:type="character" w:customStyle="1" w:styleId="209">
    <w:name w:val="hover1"/>
    <w:basedOn w:val="48"/>
    <w:autoRedefine/>
    <w:qFormat/>
    <w:uiPriority w:val="0"/>
    <w:rPr>
      <w:color w:val="2590EB"/>
    </w:rPr>
  </w:style>
  <w:style w:type="character" w:customStyle="1" w:styleId="210">
    <w:name w:val="hover2"/>
    <w:basedOn w:val="48"/>
    <w:autoRedefine/>
    <w:qFormat/>
    <w:uiPriority w:val="0"/>
  </w:style>
  <w:style w:type="character" w:customStyle="1" w:styleId="211">
    <w:name w:val="hover3"/>
    <w:basedOn w:val="48"/>
    <w:autoRedefine/>
    <w:qFormat/>
    <w:uiPriority w:val="0"/>
    <w:rPr>
      <w:color w:val="2590EB"/>
    </w:rPr>
  </w:style>
  <w:style w:type="character" w:customStyle="1" w:styleId="212">
    <w:name w:val="hover4"/>
    <w:basedOn w:val="48"/>
    <w:autoRedefine/>
    <w:qFormat/>
    <w:uiPriority w:val="0"/>
    <w:rPr>
      <w:color w:val="2590EB"/>
      <w:shd w:val="clear" w:fill="E9F4FD"/>
    </w:rPr>
  </w:style>
  <w:style w:type="character" w:customStyle="1" w:styleId="213">
    <w:name w:val="mini-outputtext1"/>
    <w:basedOn w:val="48"/>
    <w:autoRedefine/>
    <w:qFormat/>
    <w:uiPriority w:val="0"/>
  </w:style>
  <w:style w:type="character" w:customStyle="1" w:styleId="214">
    <w:name w:val="hover"/>
    <w:basedOn w:val="48"/>
    <w:autoRedefine/>
    <w:qFormat/>
    <w:uiPriority w:val="0"/>
    <w:rPr>
      <w:color w:val="2590EB"/>
    </w:rPr>
  </w:style>
  <w:style w:type="paragraph" w:customStyle="1" w:styleId="215">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header" Target="header4.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80</Pages>
  <Words>10549</Words>
  <Characters>11669</Characters>
  <Lines>411</Lines>
  <Paragraphs>115</Paragraphs>
  <TotalTime>19</TotalTime>
  <ScaleCrop>false</ScaleCrop>
  <LinksUpToDate>false</LinksUpToDate>
  <CharactersWithSpaces>11846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2016-05-15T08:29:00Z</dcterms:created>
  <dc:creator>dengxiaochun</dc:creator>
  <cp:lastModifiedBy>陈俊</cp:lastModifiedBy>
  <cp:lastPrinted>2023-06-08T00:43:00Z</cp:lastPrinted>
  <dcterms:modified xsi:type="dcterms:W3CDTF">2024-12-20T09:07:01Z</dcterms:modified>
  <dc:title>标准交易文件</dc:title>
  <cp:revision>328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F9E48ACAB74744089B63F086AE50E7D5_13</vt:lpwstr>
  </property>
  <property fmtid="{D5CDD505-2E9C-101B-9397-08002B2CF9AE}" pid="4" name="KSOTemplateDocerSaveRecord">
    <vt:lpwstr>eyJoZGlkIjoiMzAzNTBmOTkxOTFkZjhmZmExOTVhNTg5MDc2YTQ5YmYiLCJ1c2VySWQiOiI2MjI4MDk1In0=</vt:lpwstr>
  </property>
</Properties>
</file>